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25" w:rsidRDefault="003C5A87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60" w:type="dxa"/>
        <w:tblInd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1"/>
        <w:gridCol w:w="3261"/>
        <w:gridCol w:w="2128"/>
        <w:gridCol w:w="1560"/>
      </w:tblGrid>
      <w:tr w:rsidR="004B2C25">
        <w:trPr>
          <w:trHeight w:val="273"/>
        </w:trPr>
        <w:tc>
          <w:tcPr>
            <w:tcW w:w="966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                                           </w:t>
            </w:r>
          </w:p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</w:tr>
      <w:tr w:rsidR="004B2C25">
        <w:trPr>
          <w:trHeight w:val="337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                     к отчету об исполнении консолидированного бюджета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B2C25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Форма по ОКУД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0503360</w:t>
            </w:r>
          </w:p>
        </w:tc>
      </w:tr>
      <w:tr w:rsidR="004B2C25">
        <w:trPr>
          <w:trHeight w:val="273"/>
        </w:trPr>
        <w:tc>
          <w:tcPr>
            <w:tcW w:w="597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января 2025 г.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Дата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01.01.2025</w:t>
            </w:r>
          </w:p>
        </w:tc>
      </w:tr>
      <w:tr w:rsidR="004B2C25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финансового органа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район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</w:tr>
      <w:tr w:rsidR="004B2C25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по БК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092</w:t>
            </w:r>
          </w:p>
        </w:tc>
      </w:tr>
      <w:tr w:rsidR="004B2C25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бюджета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Бюджет муниципальных образований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по ОКТМО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84640000</w:t>
            </w:r>
          </w:p>
        </w:tc>
      </w:tr>
      <w:tr w:rsidR="004B2C25">
        <w:trPr>
          <w:trHeight w:val="273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Периодичность: 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месячная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2C25">
        <w:trPr>
          <w:trHeight w:val="356"/>
        </w:trPr>
        <w:tc>
          <w:tcPr>
            <w:tcW w:w="27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измерения: </w:t>
            </w:r>
          </w:p>
        </w:tc>
        <w:tc>
          <w:tcPr>
            <w:tcW w:w="326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по ОКЕИ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4B2C25" w:rsidRDefault="003C5A8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1. Организационная структура субъекта бюджетной отчетности 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Финансовое управление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Республики Алтай является структурным подразделением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район», осуществляющим функции по реализации финансовой (бюджетной, налоговой) политики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Республики Алтай.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наименование: Финансовое управление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Республики Алтай. Сокращенное наименование: Финансовое управление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Юридический и фактический адрес: 649490, Республика Алтай,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Усть-Кокса,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Харитошкина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д. 3.</w:t>
      </w:r>
    </w:p>
    <w:p w:rsidR="004B2C25" w:rsidRDefault="003C5A87">
      <w:pPr>
        <w:spacing w:line="288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 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06004246</w:t>
      </w:r>
    </w:p>
    <w:p w:rsidR="004B2C25" w:rsidRDefault="003C5A87">
      <w:pPr>
        <w:spacing w:line="288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КПП 040401001</w:t>
      </w:r>
    </w:p>
    <w:p w:rsidR="004B2C25" w:rsidRDefault="003C5A87">
      <w:pPr>
        <w:spacing w:line="288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ОГРН 1030400563423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управления являются: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бюджетной политики, обеспечивающей долгосрочную устойчивость бюджета муниципального образования;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проведение налоговой политики, обеспечивающей укрепление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доходной базы бюджета муниципального образования;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проекта и организация исполнения бюджета муниципального образования и бюджетной отчетности;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межбюджетных отношений в муниципальном образовании;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осуществление финансового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контроля, за целевым использованием бюджетных средств, выделяемых из бюджета муниципального образования;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деятельности Управления;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повышение качества и доступности финансовой информации.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состоянию на 01.01.2025 года общее количество муниц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ипальных учреждений составило 51 учреждение, в том числе 15 учреждений относятся к органам власти, 5 казенных учреждений, 29 бюджетных учреждений, 2 автономных учреждений. 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Количество сельских поселений, расположенных на территории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йон» составляет 9 единиц.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учреждения являются юридическими лицами, имеют гербовую печать, штампы и осуществляют свою деятельность в соответствии с законодательством, иными правовыми актами Российской Федерации, Республики Алтай 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йон» РА.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осуществляют деятельность в сфере организации вопросов местного значения и выполнения функций сферы муниципального управления, осуществляют функции в соответствии с Федеральным законом от 6 октября 2003г. №131-ФЗ «Об общих принципах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анизации местного самоуправления в Российской Федерации», обеспечивают проведение единой политики в области финансов и осуществляют общее руководство организацией финансов на территории муниципального образования, проводят работу по формированию и исполнен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бюджета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реализацию полномочий внешнего муниципального финансового контроля, обеспечивают контроль по вопросам владения, пользования  и распоряжения муниципальным имуществом, осуществляют консультирование по вопросам коммерческой деятельнос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и управления, управляют мероприятиями по гражданской обороне и предупреждению чрезвычайных ситуаций на территории муниципального образования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обеспечивают выполнение  исполнительных и управленческих функций в сфере образования,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уществление государственной политики в области дошкольного, основного общего, среднего (полного), дополнительного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образования, молодежной политики, обеспечивают реализацию дополнительных программ и услуг в интересах личности, общества, государства в сфере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изобразительного, музыкального и хореографического искусства, обеспечивают  организацию и проведение культурно-досугового обслуживания населения, обеспечивают организацию досуга детей в учреждениях культуры, обеспечивают хранение, собирание, изучение, и 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бликации музейных предметов и музейных коллекций, обеспечивают осуществление просветительской и образовательной деятельности, организацию библиотечного обслуживания населения меж поселенческими библиотеками, комплектование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обеспечение сохранности их библ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иотечных фондов.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РА, Управление образования и молодежной политики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и Отдел культуры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выполняют функции и полномочия учредителя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 подведомственных им бюджетных и автономных учреждений.</w:t>
      </w:r>
    </w:p>
    <w:p w:rsidR="004B2C25" w:rsidRDefault="003C5A87">
      <w:pPr>
        <w:spacing w:line="288" w:lineRule="auto"/>
        <w:ind w:firstLine="720"/>
        <w:jc w:val="both"/>
        <w:outlineLvl w:val="1"/>
        <w:rPr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состоянию на 01.01.2025 года в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числится 3 муниципальных унитарных предприятий. Учредителями являются: Администрация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РА, сельская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Катандинского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поселения.</w:t>
      </w:r>
    </w:p>
    <w:p w:rsidR="004B2C25" w:rsidRDefault="003C5A87">
      <w:pPr>
        <w:spacing w:line="288" w:lineRule="auto"/>
        <w:ind w:firstLine="720"/>
        <w:jc w:val="both"/>
        <w:outlineLvl w:val="1"/>
        <w:rPr>
          <w:b/>
          <w:color w:val="000000"/>
          <w:sz w:val="3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 по ведению бухгалтерского учета в Управлении образования и молодежной политики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район», Отделе культуры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РА,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РА, МКУ по делам ГОЧС и ЕДДС, МКУ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"УКС", Совет депутатов  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и КСО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переданы в централизованные бухгалтерии.</w:t>
      </w:r>
      <w:proofErr w:type="gramEnd"/>
    </w:p>
    <w:p w:rsidR="004B2C25" w:rsidRDefault="003C5A87">
      <w:pPr>
        <w:spacing w:line="288" w:lineRule="auto"/>
        <w:ind w:firstLine="720"/>
        <w:jc w:val="both"/>
        <w:outlineLvl w:val="1"/>
        <w:rPr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отчетном году не было изменений типа и видов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еятельности учреждений.</w:t>
      </w:r>
    </w:p>
    <w:p w:rsidR="004B2C25" w:rsidRDefault="003C5A87">
      <w:pPr>
        <w:spacing w:line="288" w:lineRule="auto"/>
        <w:ind w:firstLine="720"/>
        <w:jc w:val="both"/>
        <w:outlineLvl w:val="1"/>
        <w:rPr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Внешний государственный финансовый контроль осуществляет Контрольно-счетный орган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Республики Алтай.</w:t>
      </w:r>
    </w:p>
    <w:p w:rsidR="004B2C25" w:rsidRDefault="003C5A87">
      <w:pPr>
        <w:spacing w:line="288" w:lineRule="auto"/>
        <w:ind w:firstLine="720"/>
        <w:jc w:val="both"/>
        <w:outlineLvl w:val="1"/>
        <w:rPr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соглашениями «О порядке и сроках представления бюджетной отчетно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 по доходам, администрируемым ФНС России», бюджетная отчетность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содержит отчетность управления федеральной налоговой службы по Республики Алтай.</w:t>
      </w:r>
    </w:p>
    <w:p w:rsidR="004B2C25" w:rsidRDefault="003C5A87">
      <w:pPr>
        <w:spacing w:line="288" w:lineRule="auto"/>
        <w:ind w:firstLine="720"/>
        <w:jc w:val="both"/>
        <w:outlineLvl w:val="1"/>
        <w:rPr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center"/>
        <w:outlineLvl w:val="1"/>
        <w:rPr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РАЗДЕЛ 2. Результаты деятельности субъекта бюджетной отчетности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 бюджета в 2024 году осуществлялось в программном формате. На уровне района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реализуются 12 муниципальных программ: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 "Развитие экономического потенциала и предпринимательства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Респу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блики Алтай";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 "Профилактика терроризма и экстремизма, гармонизация межнациональных отношений в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Республики Алтай";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 "Повышение систем жизнеобеспечения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еспублики Алтай";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 "Доступная среда в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Республики Алтай;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 "Обеспечение безопасности граждан, профилактика правонарушений, преступлений, наркомании и коррупции на территории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Республики Алтай";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 "Управление муниципальными финансами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Республики Алтай";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 "Развитие образования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Республики Алтай";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 программа "Развитие культуры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Республики Алтай";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 "Управление муниципальным имуществом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Республики Алтай";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 "Улучшение условий и охраны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Республики Алтай";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 "Развитие физической культуры, спорта и молодежной политики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Республики Алтай";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Муниципальная программа "Развитие средств массовой информации на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Республики Алтай".</w:t>
      </w:r>
    </w:p>
    <w:p w:rsidR="004B2C25" w:rsidRDefault="003C5A87">
      <w:pPr>
        <w:spacing w:line="274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74" w:lineRule="auto"/>
        <w:ind w:firstLine="720"/>
        <w:jc w:val="both"/>
        <w:outlineLvl w:val="1"/>
        <w:rPr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Основной целью реализации муниципальных программ является повышение благосостояния и качества жизни населения муниципального района. По каждой муниципальной программе, подпрограмме, по основному мероприятию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определены целевые индикаторы. </w:t>
      </w:r>
    </w:p>
    <w:p w:rsidR="004B2C25" w:rsidRDefault="003C5A87">
      <w:pPr>
        <w:spacing w:line="274" w:lineRule="auto"/>
        <w:ind w:firstLine="720"/>
        <w:jc w:val="both"/>
        <w:outlineLvl w:val="1"/>
        <w:rPr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причиной неисполнения расходов, запланированных в рамках муниципальных программ, является оплата за фактически выполненные работы в рамках заключенных муниципальных контрактов.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Сельскими поселениями в целях оптим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изации бюджетных расходов передаются полномочия муниципальному району по соглашениям: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«На выдачу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осмотров зданий, сооружений и выдача рекомендаций об устранении выявленных в ходе таких осмотров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рушений»: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«О передаче полномочий по осуществлению внутреннего муниципального финансового контроля».</w:t>
      </w:r>
    </w:p>
    <w:p w:rsidR="004B2C25" w:rsidRDefault="003C5A87">
      <w:pPr>
        <w:spacing w:line="274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 отчетного периода штатная численность работников составила 320,13 ставки.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2024 году в учреждениях прошли обучение на курсах повышения квалифика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 и профессиональной переподготовке кадров 11 сотрудников (по охране труда, по пожарной безопасности и т.д.). В связи с профессиональными стандартами разработаны планы по повышению квалификации и профессиональной переподготовке сотрудников. Все сотрудник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соответствуют профессиональным стандартам.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автоматизации функций учреждений, ведение бюджетного учета осуществляется с помощью программного обеспечения «Парус», «1С-предприятие»,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средства находятся в исправном техническом состояни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Учреждениями осуществляется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улучшением состояния и сохранности основных средств. Для поддержания оборудования в рабочем состоянии учреждениями производится по мере необходимости и наличия бюджетных средств техническое обслуживание и ремонт. 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Сохранность имущества обеспечивается посредством их закрепления за материально-ответственными лицами и своевременным проведением инвентаризации имущества.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Закупка материальных запасов (в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тепло энергоресурсов) осуществляется своевременно. Потребление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 энергоресурсов осуществляется согласно нормативам.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Закупки товаров, работ и услуг для обеспечения государственных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муниципальных нужд осуществляться в соответствии с Федеральным законом от 05.04.2013 N 44-ФЗ "О контрактной системе в сфере закупок 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варов, работ, услуг для обеспечения государственных и муниципальных нужд".</w:t>
      </w:r>
    </w:p>
    <w:p w:rsidR="004B2C25" w:rsidRDefault="003C5A87">
      <w:pPr>
        <w:spacing w:line="288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3. Анализ отчета об исполнении бюджета субъектом бюджетной отчетности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4B2C25" w:rsidRDefault="003C5A87">
      <w:pPr>
        <w:ind w:firstLine="56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ДОХОДЫ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Уточненные плановые назначения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налоговым и неналоговым доходам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консолидированного бюджета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на 2024 год  в размере 241668,2 тыс. рублей исполнены на 108,1%, что в сумме составило  261155,4 тыс. рублей.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Фактическое поступление налоговых и неналоговых доходов консолидированного бюджета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 в 2024 году на 2,3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или на 6015,3 тыс. рублей  больше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поступлений 2023 года.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поступления налоговых и неналоговых доходов в консолидированный бюджет сельских поселений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за 2024 год в разрезе бюджетов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ельских поселений приведен в таблице 1 к настоящей пояснительной записке.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Структура  налоговых и неналоговых доходов в 2023 и 2024 годах: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2228"/>
        <w:gridCol w:w="2160"/>
      </w:tblGrid>
      <w:tr w:rsidR="004B2C25">
        <w:trPr>
          <w:jc w:val="center"/>
        </w:trPr>
        <w:tc>
          <w:tcPr>
            <w:tcW w:w="5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по видам бюджетов -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 год</w:t>
            </w:r>
          </w:p>
        </w:tc>
      </w:tr>
      <w:tr w:rsidR="004B2C25">
        <w:trPr>
          <w:jc w:val="center"/>
        </w:trPr>
        <w:tc>
          <w:tcPr>
            <w:tcW w:w="5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89,9%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90,2%</w:t>
            </w:r>
          </w:p>
        </w:tc>
      </w:tr>
      <w:tr w:rsidR="004B2C25">
        <w:trPr>
          <w:jc w:val="center"/>
        </w:trPr>
        <w:tc>
          <w:tcPr>
            <w:tcW w:w="5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2.Консолидированный 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сельских поселений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10,1%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9,8%</w:t>
            </w:r>
          </w:p>
        </w:tc>
      </w:tr>
    </w:tbl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2228"/>
        <w:gridCol w:w="2160"/>
      </w:tblGrid>
      <w:tr w:rsidR="004B2C25">
        <w:trPr>
          <w:jc w:val="center"/>
        </w:trPr>
        <w:tc>
          <w:tcPr>
            <w:tcW w:w="5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по группам доходов   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left="50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   2023 год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          2024 год</w:t>
            </w:r>
          </w:p>
        </w:tc>
      </w:tr>
      <w:tr w:rsidR="004B2C25">
        <w:trPr>
          <w:jc w:val="center"/>
        </w:trPr>
        <w:tc>
          <w:tcPr>
            <w:tcW w:w="5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left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1.Налоговые доходы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76,8%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75,1%</w:t>
            </w:r>
          </w:p>
        </w:tc>
      </w:tr>
      <w:tr w:rsidR="004B2C25">
        <w:trPr>
          <w:jc w:val="center"/>
        </w:trPr>
        <w:tc>
          <w:tcPr>
            <w:tcW w:w="5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left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2.Неналоговые доходы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23,2%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24,9%</w:t>
            </w:r>
          </w:p>
        </w:tc>
      </w:tr>
    </w:tbl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Налоговые доходы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Уточненный годовой план по налоговым доходам консолидированного бюджета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в сумме 183716,5 тыс. рублей исполнен на 106,7 %.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Фактическое поступление составило 196169,6 тыс. рублей, что на 4841,3 тыс. рублей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меньше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поступлений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темп снижения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 97,5%.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Исполнение доходной части  консолидированного бюджета МО 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район»  (в части налоговых поступлений) по доходным источникам: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НДФЛ: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2024 год  поступило  126688,4 тыс. рублей налога, выполнение уточненного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годового плана составило 110,8%.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отношению к 2023 году поступление налога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увеличилось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25498,3 тыс. рублей,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темп роста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составил 125,1%.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перевыполнения уточненных годовых плановых назначений и роста поступлений налога по сравнению с 2023  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ом: </w:t>
      </w:r>
    </w:p>
    <w:p w:rsidR="004B2C25" w:rsidRDefault="003C5A87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1.  Рост минимальной заработной платы с 01.01.2024г на 18,5%.</w:t>
      </w:r>
    </w:p>
    <w:p w:rsidR="004B2C25" w:rsidRDefault="003C5A87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2. Повышение заработной платы военнослужащих и сотрудников некоторых федеральных органов исполнительной власти с 01.10.2023года на 10,5%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основном поступление НДФЛ обеспече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  <w:gridCol w:w="1388"/>
        <w:gridCol w:w="1759"/>
        <w:gridCol w:w="1628"/>
      </w:tblGrid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плательщика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за отчетный период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за аналогичный период прошлого года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БУЗ 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Усть-Коксинская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РБ» 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12093,6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8985,5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+3108,1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Усть-Коксинская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9203,9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5465,6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+3738,3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Отделение 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Усть-Коксинскому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району»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4260,9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3337,0    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+923,9  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СПК   Нижне-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Уймонский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1415,3       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1375,5          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+39,8 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фирма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Курдюм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1584,6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1287,8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+296,8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«Верх-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Уймонская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2501,6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1768,8     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+732,8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3510,6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3401,7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+108,9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Усть-Коксинское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ДРСП»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4061,3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3945,0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+116,3  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«Тепло Ресурс»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2245,5  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1474,0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+771,5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СПК ПКЗ «Амурский»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1882,0   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1617,3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+264,7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ФГБУ «Государственный заповедник «Катунский»»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2126,2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1583,5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542,7  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Сибирь»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2032,1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1360,3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+671,8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МУ АМО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Д.Т.и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2752,0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2201,7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+550,3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судебного департамента в республике Алтай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2387,5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1712,8   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+674,7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Катандинская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1562,1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1178,7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+383,4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Тепловодстрой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Сервис»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1404,5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985,1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+419,4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АПОУ РА «ТОТ»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2134,8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1329,9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+804,9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 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1735,2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1218,3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+516,9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Чендекская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2205,0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1028,8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+1176,2</w:t>
            </w:r>
          </w:p>
        </w:tc>
      </w:tr>
      <w:tr w:rsidR="004B2C25">
        <w:tc>
          <w:tcPr>
            <w:tcW w:w="5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     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61098,7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45257,3 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+15841,4</w:t>
            </w:r>
          </w:p>
        </w:tc>
      </w:tr>
    </w:tbl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Акцизы: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2024 год  поступило  18482,0 тыс. рублей налога. Выполнение уточненного годового плана  составило 101,3%. По отношению к 2023 году поступление налога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увеличилось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749,4 тыс. рублей,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темп роста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составил 104,2 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%.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00"/>
        </w:rPr>
        <w:t xml:space="preserve">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ЕНВД: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2024 год  поступило  28,6 тыс. рублей налога. Выполнение  уточненного годового плана составило  110,8%.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отношению к 2023 году поступление налога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сократилось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25,2 тыс. рублей. 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снижения поступлений налога по сравнению с 2023 годом являет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снижение налогоплательщиков, переход на иную систему налогообложения.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ЕСХН: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За 2024 год  поступило  1187,1 тыс. рублей налога. Выполнение уточненного годового плана   111,7%.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отношению к 2023 году поступление налога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увеличилось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816,4 тыс.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темп роста составил 220,2%. 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увеличения поступлений в сравнении с 2023 годом, связано с увеличением налогооблагаемой базы по налогоплательщикам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основном поступление ЕСХН обеспечено: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  <w:gridCol w:w="1382"/>
        <w:gridCol w:w="1762"/>
        <w:gridCol w:w="1631"/>
      </w:tblGrid>
      <w:tr w:rsidR="004B2C25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плательщика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за отчетный период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за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налогичный период прошлого года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4B2C25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«Красноярка»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+41,3</w:t>
            </w:r>
          </w:p>
        </w:tc>
      </w:tr>
      <w:tr w:rsidR="004B2C25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«Объединение Инициатива»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261,4 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-15,6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+245,8</w:t>
            </w:r>
          </w:p>
        </w:tc>
      </w:tr>
      <w:tr w:rsidR="004B2C25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«Мораум-2»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213,8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+213,8</w:t>
            </w:r>
          </w:p>
        </w:tc>
      </w:tr>
      <w:tr w:rsidR="004B2C25"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+590,4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+58,3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+500,9</w:t>
            </w:r>
          </w:p>
        </w:tc>
      </w:tr>
    </w:tbl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ПСН: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2024 год  поступило 4912,9 тыс. рублей налога.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уточненного годового плана  90,3%.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 отношению к 2023 году поступление налога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увеличилось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1912,4 тыс. рублей, темп роста составил 163,7%.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 снижения поступлений по налогу, взимаемому в связи с применением патентной системы налогообло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жения,  является  уменьшение суммы налога на страховые взносы, уплаченные за себя и  наемных работников.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НИФЛ: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2024 год  поступило  4537,8 тыс. рублей налога. Выполнение  уточненного годового плана   102,2%.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отношению к 2023 году поступление налога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сократилось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314,6 тыс. рублей, темп роста составил 93,5%.  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 уменьшения поступлений по сравнению с аналогичным периодом годом является неоплатой налога в 2024году за 2023год.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2024 год  поступило 24940,1 тыс. рублей налога. Выполнение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уточненного годового плана 100,0%.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отношению к 2023 году поступление налога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увеличилось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15275,9 тыс. рублей, темп роста составил 258,1%. 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увеличения поступлений налога по сравнению с 2023 годом: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Принятием Закона Республики Алтай от 27 ноя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 2023 года №85-РЗ «О внесении изменений в некоторые законодательные акты Республики Алтай». В соответствии с изменениями, налог на имущество в отношении автомобильных дорог общего пользования республиканского значения, а также сооружений, являющихся нео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тъемлемой частью указанных объектов будет исчисляться по ставке 2,2%, ранее налоговая ставка была установлена в размере 0%.</w:t>
      </w:r>
    </w:p>
    <w:p w:rsidR="004B2C25" w:rsidRDefault="003C5A87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Поднятием в 1 квартале 2023 года переплаты (излишне уплаченного в 2022 году налога) ПАО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Россети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Сибири» с КБК на единый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алоговый счет, что явилось снижением у организации налогооблагаемой базы в связи с изменением с 01.01.2022 года законодательства в части правил ведения бухгалтерского учета (определение налоговой базы за минусом ликвидационной стоимости-ФСБУ6/20).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Сумма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ступлений текущего года составила 869 тыс. рублей, в аналогичном периоде прошлого года поступления отсутствовали.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основном поступление НИО обеспечено:</w:t>
      </w:r>
    </w:p>
    <w:tbl>
      <w:tblPr>
        <w:tblW w:w="1003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1402"/>
        <w:gridCol w:w="1789"/>
        <w:gridCol w:w="1654"/>
      </w:tblGrid>
      <w:tr w:rsidR="004B2C25"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плательщика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за отчетный период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за аналогичный период прошлого года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(+/-)</w:t>
            </w:r>
            <w:proofErr w:type="gramEnd"/>
          </w:p>
        </w:tc>
      </w:tr>
      <w:tr w:rsidR="004B2C25"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БУЗ 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Усть-Коксинская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РБ»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3224,6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2235,8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+988,8</w:t>
            </w:r>
          </w:p>
        </w:tc>
      </w:tr>
      <w:tr w:rsidR="004B2C25"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Сибирь»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869,8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+49,4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+820,4</w:t>
            </w:r>
          </w:p>
        </w:tc>
      </w:tr>
      <w:tr w:rsidR="004B2C25"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«Верх-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Уймонская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1010,7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+815,7</w:t>
            </w:r>
          </w:p>
        </w:tc>
      </w:tr>
      <w:tr w:rsidR="004B2C25"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Усть-Коксинская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1660,5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1091,8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+568,7</w:t>
            </w:r>
          </w:p>
        </w:tc>
      </w:tr>
      <w:tr w:rsidR="004B2C25"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   « Республиканского управления автомобильных дорог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 пользования Горно-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Алтайавтодор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12267,3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+12267,3</w:t>
            </w:r>
          </w:p>
        </w:tc>
      </w:tr>
      <w:tr w:rsidR="004B2C25"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АПОУ РА «ТОТ»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237,6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+29,6</w:t>
            </w:r>
          </w:p>
        </w:tc>
      </w:tr>
      <w:tr w:rsidR="004B2C25"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      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19300,1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3809,6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+15490,5</w:t>
            </w:r>
          </w:p>
        </w:tc>
      </w:tr>
    </w:tbl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2024 год  поступило 10959,8 тыс. рублей налога. Выполнение уточненного годового плана   99,2%.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отношению к 2023 году поступление налога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увеличилось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410,8 тыс. рублей, темп роста составил 103,9%.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 с организаций: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2024 год  поступило   5672,1 тыс. рублей налога. Выполнение уточненного годового плана 91,3%.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отношению к 2023 году поступлени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налога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увеличилось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на 59,4 тыс. рублей, темп роста составил 101,1%.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невыполнения уточненных годовых плановых назначений является занижением фактически уплаченных авансовых платежей в 2024 году (АО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Кайтанак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СПК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Абайский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 СПК «Нижне-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Уймонски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Причиной роста поступлений налога по сравнению с 2023 годом является своевременная уплата текущих платежей.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основном поступление ЗН с организаций обеспечено: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1335"/>
        <w:gridCol w:w="1762"/>
        <w:gridCol w:w="2258"/>
      </w:tblGrid>
      <w:tr w:rsidR="004B2C25"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плательщика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за отчетный период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за аналогичный период прошлого года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4B2C25"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СПК «Тюнгур»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549,4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348,4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+201,0</w:t>
            </w:r>
          </w:p>
        </w:tc>
      </w:tr>
      <w:tr w:rsidR="004B2C25"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«Объединение Инициатива»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466,9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+465,2</w:t>
            </w:r>
          </w:p>
        </w:tc>
      </w:tr>
      <w:tr w:rsidR="004B2C25"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300,8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253,4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+47,4    </w:t>
            </w:r>
          </w:p>
        </w:tc>
      </w:tr>
      <w:tr w:rsidR="004B2C25"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Усть-Коксинское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232,1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+44,0</w:t>
            </w:r>
          </w:p>
        </w:tc>
      </w:tr>
      <w:tr w:rsidR="004B2C25"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ООО «Смарт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Бьюти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408,7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+407,5</w:t>
            </w:r>
          </w:p>
        </w:tc>
      </w:tr>
      <w:tr w:rsidR="004B2C25"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«Перспектива»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+100,5</w:t>
            </w:r>
          </w:p>
        </w:tc>
      </w:tr>
      <w:tr w:rsidR="004B2C25"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«Высотник»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168,1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72,8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+95,3</w:t>
            </w:r>
          </w:p>
        </w:tc>
      </w:tr>
      <w:tr w:rsidR="004B2C25">
        <w:tc>
          <w:tcPr>
            <w:tcW w:w="4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Итого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2270,5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909,6</w:t>
            </w: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+1360,9</w:t>
            </w:r>
          </w:p>
        </w:tc>
      </w:tr>
    </w:tbl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 с физических лиц: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2024 год  поступило   5287,8 тыс. рублей налога. Выполнение уточненного годового плана   117,0%.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отношению к 2023 году поступление налога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увеличилось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на 351,4 тыс. рублей, темп роста составил 107,1 %.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Причинами перевыполнения уточненных годовых плановых назначений и роста поступлений налога по сравнению с 2023  годом является уплата задолженности и своевременная уплата текущих платежей.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Налоги, сборы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регулярные платежи за пользование природными ресурсами: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2024  год  поступило 409,1 тыс. рублей налога. Выполнение уточненного годового плана   100,0 %.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отношению к 2023 году поступление налога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увеличилось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322,9 тыс. рублей, темп роста составил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74,6 %.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 роста поступлений платежей по сравнению с 2023 годом является увеличение объемов добычи полезных ископаемых по налогоплательщик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ООО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Дорожное Ремонтно-Строительное Предприятие»</w:t>
      </w:r>
    </w:p>
    <w:p w:rsidR="004B2C25" w:rsidRDefault="003C5A87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     ГП: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2024 год поступило 4023,5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рублей. Выполнение уточненного годового плана   104,4 %. По отношению к 2023 году поступление государственной пошлины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увеличилось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1840,1 тыс. рублей, темп роста составил 184,3 %. 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роста поступлений налога по сравнению с 2023 годом являетс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увеличения поступлений по государственной пошлине по делам, рассматриваемым в судах общей юрисдикции, мировыми судьями на 1390,8 тыс. рублей в результате увеличения обращений в суд.   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Задолженность: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 на 01.01.2025 года –100,9 тыс. рублей.  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Ненало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говые доходы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Уточненный годовой план по неналоговым доходам консолидированного бюджета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в сумме 57951,6 тыс. рублей исполнен на 117,2 %.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Фактическое поступление составило 64985,7 тыс. рублей, что на 4271,9 тыс. рублей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больше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туплений 2023 года,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темп роста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составил107,0%.      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Исполнение доходной части  консолидированного бюджета МО 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район»  (в части неналоговых поступлений) по доходным источникам: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Доходы от использования имущества, находящегося в государствен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ной и муниципальной собственности: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2024 год  поступило  43288,3 тыс. рублей доходов от использования имущества: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доходы от использования земельных участков  –41824,4 тыс. рублей;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доходы от использования имущества –1463,9 тыс. рублей;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уточ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ненного годового плана составило 108,5 %.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отношению к 2023 году поступление  доходов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увеличилось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6461,9  тыс. рублей,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темп роста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 117,5 %.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-доходы от аренды земельных участков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факт за 2024 год  составил  41824,4 тыс. рублей. Выполнение уто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чненного годового плана составило 108,6 %.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отношению к 2023 году отмечен рост на 5916,0 тыс. рублей, или на 16,5 % 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 роста поступлений:</w:t>
      </w:r>
    </w:p>
    <w:tbl>
      <w:tblPr>
        <w:tblW w:w="1032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572"/>
        <w:gridCol w:w="1680"/>
        <w:gridCol w:w="1669"/>
        <w:gridCol w:w="1690"/>
        <w:gridCol w:w="2069"/>
      </w:tblGrid>
      <w:tr w:rsidR="004B2C25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договоров, по которым начислены платежи к уплате в 2024 году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начисленных арендных платежей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уплаченных арендных платежей за 2024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договоров, по которым начислены платежи к уплате в 2023 году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начисленных арендных платежей за 2023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уплаченных арендных платежей за 2023 год</w:t>
            </w:r>
          </w:p>
        </w:tc>
      </w:tr>
      <w:tr w:rsidR="004B2C25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33596,1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41824,3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30552,6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35907,8</w:t>
            </w:r>
          </w:p>
        </w:tc>
      </w:tr>
    </w:tbl>
    <w:p w:rsidR="004B2C25" w:rsidRDefault="003C5A87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Причины роста поступлений по сравнению с 2023 годом:</w:t>
      </w:r>
    </w:p>
    <w:p w:rsidR="004B2C25" w:rsidRDefault="003C5A87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1. Поступление задолженности за истекшие периоды.</w:t>
      </w:r>
    </w:p>
    <w:p w:rsidR="004B2C25" w:rsidRDefault="003C5A87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    2. Проведение аукционов на право заключения договоров аренды  за земельные участки на сумму 24663,4 тыс. рублей.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Задолженнос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по аренде земельных участков по  состоянию на 01.01.2025 года составила 745,9 тыс. рублей  (на 01.01.2024 года –7605,5 тыс. рублей).  По отношению к 01.01.2023 года отмечено снижение  задолженности на 6859,6 тыс. рублей.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оходы от аренды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 за 2024 год  составил 1463,9 тыс. рублей. Выполнение уточненного годового плана составило 106,2 %.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отношению к 2023 году отмечен рост на 545,4 тыс. рублей, темп роста составил 159,4 %.  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Причиной роста годовых плановых назначений доходов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сравнению с 2023 годом является возвратом задолженности (ООО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Ревитал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»).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снижения поступлений:</w:t>
      </w:r>
    </w:p>
    <w:tbl>
      <w:tblPr>
        <w:tblW w:w="990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1572"/>
        <w:gridCol w:w="1675"/>
        <w:gridCol w:w="1660"/>
        <w:gridCol w:w="1687"/>
        <w:gridCol w:w="1675"/>
      </w:tblGrid>
      <w:tr w:rsidR="004B2C25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договоров, по которым начислены платежи к уплате в 2024 году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начисленных арендных платежей за 2024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уплаченных арендных платежей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договоров, по которым начислены платежи к уплате в 2023 году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начисленных арендных платежей за 2023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уплаченных арендных платежей за 2023 год</w:t>
            </w:r>
          </w:p>
        </w:tc>
      </w:tr>
      <w:tr w:rsidR="004B2C25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1078,0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1463,9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1194,1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918,5   </w:t>
            </w:r>
          </w:p>
        </w:tc>
      </w:tr>
    </w:tbl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Задолженность по аренде имущества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состоянию на 01.01.2025 года составляет 31,1 тыс. рублей,  по отношению к 01.01.2023 года отмечено снижение задолженности на  3,5  тыс. рублей.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Плата за негативное воздействие на окружающую среду: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 за 2024 год составил 2078,6 тыс. рублей. Выполнение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уточненного годового плана   101,4 %.     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отношению к 2023 году отмечено увеличение на 1859,7 тыс. рублей,  или на 849,7 %. 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увеличения поступлений платы за негативное воздействие на окружающую среду  по сравнению с аналогичным периодом прош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  года является ошибочно зачисленная сумма.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доходам компенсации затрат государства: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 за 2024 год  составил 4547,4 тыс. рублей: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возмещение затрат за коммунальные  услуги арендаторами муниципального имущества 1434,6 тыс. рублей;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возврат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дебиторской задолженности 3089,9 тыс. рублей.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уточненного годового плана составило 411,1 %.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отношению к 2023 году отмечен рост на 4145,4 тыс. рублей или на 1131,2 %.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роста уточненных годовых плановых назначений  и увеличения поступл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 по сравнению с 2023 годом является, возврат дебиторской задолженности, уточнение суммы 2950,0 тыс. рублей с невыясненных поступлений – возврат ущерба по муниципальному контракту от Пашаева И.И..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Доходы от реализации имущества: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 за 2024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составил 16083,5  тыс. рублей.   Выполнение уточненного годового плана   по доходам от реализации имущества составило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121,9%.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отношению к 2023 году отмечено снижение на 2810,0 тыс. рублей, или на 14,9 %.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доходы от продажи земельных участков: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год составил 12490,2 тыс. рублей  Выполнение уточненного годового плана от продажи земельных участков составило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130,2 %.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отношению к 2023 году отмечено снижение на 5527,4 тыс. рублей или на 30,7 %.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 снижения поступлений по сравнению с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 годом является уменьшение земельных участков предоставляемые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физическим лицам  по заявительному характеру в связи с принятием Правительством Российской Федерации Постановления № 629 от 09.04.2022г "Об особенностях регулирования земельных отношений в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 Федерации в 2022-2024 годах", которое дает возможность выкупать земельные участки с разрешенным использованием под огородничество и личное подсобное хозяйство (полевой участок).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снижения поступлений:</w:t>
      </w:r>
    </w:p>
    <w:tbl>
      <w:tblPr>
        <w:tblW w:w="1032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277"/>
        <w:gridCol w:w="1702"/>
        <w:gridCol w:w="1702"/>
        <w:gridCol w:w="1702"/>
        <w:gridCol w:w="2127"/>
      </w:tblGrid>
      <w:tr w:rsidR="004B2C25">
        <w:trPr>
          <w:trHeight w:val="2372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ind w:firstLine="56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договоров на отчетную дату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продажи по договорам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договоров за аналогичный период прошлого года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продажи по договорам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Отклонение </w:t>
            </w:r>
          </w:p>
        </w:tc>
      </w:tr>
      <w:tr w:rsidR="004B2C25"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10123,1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13555,9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+83</w:t>
            </w:r>
          </w:p>
        </w:tc>
      </w:tr>
      <w:tr w:rsidR="004B2C25">
        <w:trPr>
          <w:trHeight w:val="30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2367,0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4461,7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0       </w:t>
            </w:r>
          </w:p>
        </w:tc>
      </w:tr>
      <w:tr w:rsidR="004B2C25">
        <w:trPr>
          <w:trHeight w:val="300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12490,1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18017,6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+83</w:t>
            </w:r>
          </w:p>
        </w:tc>
      </w:tr>
    </w:tbl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доходы от продажи имущества: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 за 2024 год составил 3593,3 тыс. рублей. По отношению к 2023 году отмечен рост на 2717,4 тыс. рублей.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Штрафы, санкции, возмещение ущерба: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факт за 2024 год составил 1787,6 тыс. рублей. По отношению к 01.01.2024 года отмечен рост на 364,5 тыс. рублей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25,6 %. Выполнение уточненного годового плана   по штрафам, санкциям, возмещением ущерба  составило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113,4 %.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Причиной роста поступлений по сравнению с 2023 годом является увеличение платежей по искам о возмещении вреда, причиненного окружающей среде,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платежи, уплачиваемые при добровольном возмещении вреда, причиненного окружающей среде на 326,0 тыс. рублей, </w:t>
      </w:r>
    </w:p>
    <w:p w:rsidR="004B2C25" w:rsidRDefault="003C5A87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Прочие неналоговые доходы: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 за 2024 год составил -2799,7 тыс. рублей. По отношению к 01.01.2024 года отмечено снижение на  5749,6 тыс.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рублей. В декабре 2023 года на невыясненные поступления по платежным поручениям № 728778 от 28.12.2023г и № 25291 от 30.12.2023 г в доход бюджета от Пашаева И.И. поступили денежные средства в сумме 2950,0 тыс. рублей в возмещение ущерба по муниципальному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онтракту № 1 от 13.10.2022г. (Уточнение ошибочно зачисленных сумм).</w:t>
      </w:r>
    </w:p>
    <w:p w:rsidR="004B2C25" w:rsidRDefault="003C5A87">
      <w:pPr>
        <w:ind w:firstLine="5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ind w:firstLine="56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ДЕФИЦИТ БЮДЖЕТА</w:t>
      </w:r>
    </w:p>
    <w:p w:rsidR="004B2C25" w:rsidRDefault="003C5A87">
      <w:pPr>
        <w:ind w:firstLine="5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ind w:firstLine="5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  (без сельских поселений) за 2024 год исполнен с профицитом в сумме 23 058,1 тыс. рублей.</w:t>
      </w:r>
    </w:p>
    <w:p w:rsidR="004B2C25" w:rsidRDefault="003C5A87">
      <w:pPr>
        <w:ind w:firstLine="5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ind w:firstLine="56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СОСТОЯНИЕ МУНИЦИПАЛЬНОГО ДОЛГА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состоянию на 01.01.2024 года объем муниципального долга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составлял 3200,0 тыс. рублей, по состоянию на 01.01.2025 года объем муниципального долга составил   3 200,0 тыс. рублей.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 долг за 2024 год остался  в объеме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3200,0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ублей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Привлечено в 2024 году бюджетных кредитов из республиканского бюджета  на сумму 1300,0 тыс. рублей. Погашено в 2024 году бюджетных кредитов по соглашениям, заключенным от имени муниципального образования на сумму 1300,0 тыс. рублей. 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задолженности по состоянию на 01.01.2025 года перед республиканским  бюджетом по бюджетным кредитам составил 3200,0 тыс. рублей.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программой муниципальных заимствований, утвержденной на 2024 год решением муниципального образования  «О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бюджете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на 2024 год и на плановый период 2025 и 2026 годов» было привлечено кредитов от кредитных организаций в сумме 0,00 тыс. рублей, вместо планируемых  0 тыс. рублей. Погашено кредитов в 2024 году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сумму 0 тыс. рублей,  по состоянию на 01.01.2025 года остаток задолженности перед кредитными организациями  составил 0 тыс. рублей.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Предоставлено муниципальных гарантий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в 2024 году в сумме 0 тыс. рублей, погашено в сумме 0 тыс.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ублей,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исполнено  гарантом в сумме 0 тыс. рублей.  По состоянию на 01.01.2025 года остаток по предоставленным муниципальным гарантиям   составил 0 тыс. рублей. 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Объем муниципального  долга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по состоянию на 01.01.2025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составил 1,36 % от годового объема доходов бюджета муниципального образования без учета объема безвозмездных поступлений.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Муниципальный  долг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  не превышает предельные ограничения, установленные бюджетным законодательством и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решением муниципального образования  «О  бюджете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на 2024 год и на плановый период 2025 и 2026 годов». 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2024 году на обслуживание муниципального долга направлено 3,93 тыс. рублей, что не превышает предель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ограничения, установленные бюджетным законодательством и  утвержденные решением муниципального образования  «О  бюджете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на 2024 год и на плановый период 2025 и 2026 годов» бюджетные ассигнования.  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иципальный долг сельских поселений на начало года составлял  0 тыс. рублей. За отчетный период бюджетами сельских поселений привлечено кредитов от кредитных организаций в сумме  0 тыс. рублей и бюджетных кредитов в сумме 0 тыс. рублей. Погашение муниципаль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долга  по  кредитам кредитных организаций в 2024 году составило 0 тыс. рублей, по бюджетным кредитам составило 0 тыс. рублей. Муниципальный долг  сельских поселений  на конец отчетного года составил 0 тыс. рублей.</w:t>
      </w:r>
    </w:p>
    <w:p w:rsidR="004B2C25" w:rsidRDefault="003C5A87">
      <w:pPr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ind w:firstLine="5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74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74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РАСХОДЫ БЮДЖЕТА</w:t>
      </w:r>
    </w:p>
    <w:p w:rsidR="004B2C25" w:rsidRDefault="003C5A87">
      <w:pP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76" w:lineRule="auto"/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консолидированного бюджета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за 2024 год по расходам составляет 1 340 978 676,89 тыс. руб. или  97,6 процента к уточненному плану консолидированного бюджета 1 373 923 478,36 тыс.  руб.</w:t>
      </w:r>
    </w:p>
    <w:p w:rsidR="004B2C25" w:rsidRDefault="003C5A87">
      <w:pPr>
        <w:spacing w:line="276" w:lineRule="auto"/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бюджета муниципального района за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024 год по расходам составляет 1 504 042 875,04 тыс. руб. или  97,1  процента к уточненному плану бюджета муниципального района   1 460 650 904,70 тыс. руб. </w:t>
      </w:r>
    </w:p>
    <w:p w:rsidR="004B2C25" w:rsidRDefault="003C5A87">
      <w:pPr>
        <w:spacing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В ходе исполнения консолидированного бюджета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за 2024 год были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реализованы   национальные проекты на сумму 30 453,3 тыс. руб.  в том числе:</w:t>
      </w:r>
    </w:p>
    <w:p w:rsidR="004B2C25" w:rsidRDefault="003C5A87">
      <w:pPr>
        <w:spacing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реализацию программы "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Повышение систем жизнеобеспечения":</w:t>
      </w:r>
    </w:p>
    <w:p w:rsidR="004B2C25" w:rsidRDefault="003C5A87">
      <w:pPr>
        <w:spacing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подпрограмма "Энергосбережение и повышение энергетической эффективности"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реализованны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бюджетные ассигнования на мероприятия: </w:t>
      </w:r>
    </w:p>
    <w:p w:rsidR="004B2C25" w:rsidRDefault="003C5A87">
      <w:pPr>
        <w:spacing w:line="276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энергосбережения и повышение эффективности в коммунальном хозяйстве на капитальный ремонт котельной №10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Верхний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ймон по ул. Набережная д. 41 (замена котла КВ-р-0,4),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 котельной №4 в с. Усть-Кокса по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Харитошкина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 3 (замена котла КВ-р-0,63), в сумме 1 710 600,00 руб.</w:t>
      </w:r>
    </w:p>
    <w:p w:rsidR="004B2C25" w:rsidRDefault="003C5A87">
      <w:pPr>
        <w:spacing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подпрограмма "Улучшение жилищных условий граждан" реализованы бюджетные ассигн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на мероприятия:</w:t>
      </w:r>
    </w:p>
    <w:p w:rsidR="004B2C25" w:rsidRDefault="003C5A87">
      <w:pPr>
        <w:spacing w:line="276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осуществление полномочий по обеспечению жильем отдельных категорий граждан "Ветераны" выплачено 4 получателям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умме 7 763 700,00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2C25" w:rsidRDefault="003C5A87">
      <w:pPr>
        <w:spacing w:line="276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осуществление полномочий по обеспечению жильем отдельных категорий граждан "О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оциальной защите инвалидов в Российской Федерации" выплачено 2 получателям средств, в сумме 4 030 900,00 руб.;</w:t>
      </w:r>
    </w:p>
    <w:p w:rsidR="004B2C25" w:rsidRDefault="003C5A87">
      <w:pPr>
        <w:spacing w:line="276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реализацию мероприятий по обеспечению жильем молодых семей, выплачено 10 получателем средств, в сумме 3 082 276,48 руб.</w:t>
      </w:r>
    </w:p>
    <w:p w:rsidR="004B2C25" w:rsidRDefault="003C5A87">
      <w:pPr>
        <w:ind w:firstLine="700"/>
        <w:jc w:val="both"/>
        <w:rPr>
          <w:color w:val="000000"/>
        </w:rPr>
      </w:pPr>
      <w:bookmarkStart w:id="1" w:name="_dx_frag_StartFragment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реализацию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 Нац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ионального проекта "Культура", Федерального проекта "Творческие люди"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реализованы бюджетные ассигнования на мероприятия: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 государственную поддержку лучших сельских учреждений  культуры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учреждения  Администрации Муниципального  Образован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 Республики  Алтай "Дом творчества и досуга"- приобретены видеокамера, стулья, ткани и т.д.) в сумме 100 000,00. руб.;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реализацию мероприятия по обеспечению развития и укрепления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технической базы домов культуры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населенных пунктах с число жителей до 50 тыс. человек (приобретены в МУ "ДТ 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музыкальное и световое оборудование, проекторы, ноутбуки) в сумме 1 070 817,49 руб.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реализацию подпрограммы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Библиоиечное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дело" оказана государственная поддержка отрасли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(субсидия на комплектование книжных фондов муниципальных общественных библиоте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приобретены книги) в сумме 75 165,10 руб.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реализацию подпрограммы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Сохраниение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развитие культурно-исторического наследия" на осуществление реализации регионал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 проекта "Культурная среда" (техническое оснащение муниципальных музее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приобретены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стелажи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витрины, шкафы) в сумме 570 000,00 руб.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Федеральный проект "Патриотическое воспитание граждан Российской Федерации"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реализованы бюджетные ассигнования на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ероприятия: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Проведение мероприятий по обеспечению деятельности  советников директора по воспитанию и взаимодействию с детскими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объеденениями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общеобразовательных организациях- 2 757 044,97 руб.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реализацию программы "Развитие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Образрован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реализованы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бджетные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ассигнованияна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реализацию подпрограммы "Развитие общего образования":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сумм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43 539 600,00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организаций, муниципальных общеобразовательных организаций в сумме 462 073,00 руб.;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621 141,00 руб.;</w:t>
      </w:r>
      <w:proofErr w:type="gramEnd"/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 реализацию модернизации школьных систем образования в сумме 50 555 880,00 руб.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 в МБОУ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Тихоньская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ООШ".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на реализацию Национального </w:t>
      </w:r>
      <w:hyperlink r:id="rId5">
        <w:r>
          <w:rPr>
            <w:rStyle w:val="a4"/>
            <w:rFonts w:ascii="Times New Roman" w:eastAsia="Times New Roman" w:hAnsi="Times New Roman" w:cs="Times New Roman"/>
            <w:b/>
            <w:color w:val="000000"/>
            <w:sz w:val="24"/>
            <w:szCs w:val="24"/>
            <w:u w:val="none"/>
          </w:rPr>
          <w:t>проект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"Жилье и городская среда"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Федерального проекта  "Формирование комфортной городской среды"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реализованы бюджетные ассигнования на мероприятия: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 формирования современной городской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среды </w:t>
      </w:r>
      <w:r>
        <w:rPr>
          <w:rFonts w:ascii="Times New Roman" w:eastAsia="Times New Roman" w:hAnsi="Times New Roman" w:cs="Times New Roman"/>
          <w:color w:val="000000"/>
        </w:rPr>
        <w:t xml:space="preserve">Благоустройство территорий памп-трек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-Кокса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ул.Набережная</w:t>
      </w:r>
      <w:bookmarkStart w:id="2" w:name="_dx_frag_EndFragment"/>
      <w:bookmarkEnd w:id="2"/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сельского поселения)  в сумме 4 000 000 тыс. руб.;</w:t>
      </w:r>
    </w:p>
    <w:p w:rsidR="004B2C25" w:rsidRDefault="003C5A87">
      <w:pPr>
        <w:spacing w:line="276" w:lineRule="auto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фоормирование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 поддержки отрасли культуры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культурно-досуговых учреждений в сел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ьской местности)  по капитальному ремонту здания сельского  клуба по адресу: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Центральная д. 40 в сумме 9 865 800,00 руб.</w:t>
      </w:r>
    </w:p>
    <w:p w:rsidR="004B2C25" w:rsidRDefault="003C5A87">
      <w:pPr>
        <w:spacing w:line="276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(без сельских поселений) исполнен с профицитом в сумме 23 058,1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тыс. руб.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4. Анализ показателей бухгалтерской отчетности субъекта бюджетной отчетности </w:t>
      </w:r>
    </w:p>
    <w:p w:rsidR="004B2C25" w:rsidRDefault="003C5A87">
      <w:pPr>
        <w:ind w:firstLine="720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годовой бюджетной отчетности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за 2023 год осуществлялось путем суммирования данных отчетов, представленных сельскими поселениями и главными распорядителями бюджетных средств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РА, расположе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нных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района,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России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28.12.2010 №191н. 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Показатели на начала отчетного периода вступительного баланса отличаются от показателей прошлого отчетного периода на конец года в целом на сумму 104 733 037,41 руб., в том числе: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Сведения об изменении остатков валюты бал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анса (бюджетная деятельность) (ф. 0503373). </w:t>
      </w:r>
      <w:proofErr w:type="gramEnd"/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счету 0 101 00 000 "Основные средства (балансовая стоимость) на начало отчетного периода увеличилась на 12 259,00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связи с исправлением ошибок прошлых лет в учете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он".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вступительного баланса по коду причины 03.3 - ошибки в применении счетов бухгалтерского учета.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 счету 0 101 00 000"Основные средства (балансовая стоимость) на начало отчетного периода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уменьшилассь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связи с исправлением оши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 прошлых лет.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вступительного баланса по коду причины 03.3 - ошибки в применении счетов бухгалтерского учета.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Катандинского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ошибочно поставлена котельная дважды на учет.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 счету 0 103 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000 "Непроизведенные активы" (остаточная стоимость) на начало отчетного периода уменьшилась на 99 339 476,41 руб.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вступительного баланса по коду причины 03.3 - ошибки в применении счетов бухгалтерского учета.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учете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Катандинского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еления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бухгалтером была допущена механическая ошибка при составлении отчетности, после сверки с Кадастровой палатой, данные приведены в соответствие.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 счету 0 105 00 000 "Материальные запасы" на начало отчетного периода умень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шилась по сравнению с показателями прошлого отчетного периода на сумму 4 905,00 руб., в связи с исправлением ошибок прошлых лет в учете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Показатели вступительного баланса по коду причины 03.3 - ошибки в применении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четов бухгалтерского учета.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Администрацией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в 2024 году проведена инвентаризация счетов бюджетного учета. В связи, с чем были выявлены ошибки в применении счетов бухгалтерского учета в учете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йон".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счету 0 106 00 000 "Вложения в нефинансовые активы" на начало отчетного периода уменьшилась по сравнению с показателями прошлого отчетного периода на сумму 13 487 614,00 руб., в связи с исправлением ошибок прошлых лет в учете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вступительного баланса по коду причины 03.3 - ошибки в применении счетов бухгалтерского учета.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Администрацией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в 2024 году проведена инвентаризация счетов бюджетного учета. В связи, с чем были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выявлены ошибки в применении счетов бухгалтерского учета.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счету 0 108 00 000 «Нефинансовые активы имущества казны» на начало отчетного периода увеличились по сравнению с показателями прошлого отчетного периода на сумму 8 086 700,00 руб., в связи с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правлением ошибок прошлых лет в учете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вступительного баланса по коду причины 03.3 - ошибки в применении счетов бухгалтерского учета.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Администрацией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в 2024 году проведена инв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ентаризация счетов бюджетного учета. В связи, с чем были выявлены ошибки в применении счетов бухгалтерского учета. 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Балансовая стоимость основных средств,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года по сравнению с предшествующим 2023 годом увеличилась на 780 86,05 руб., и состав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 192 398 952,49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FF"/>
        </w:rPr>
        <w:t xml:space="preserve"> 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Поступление имущества в отчетном периоде сложилось из безвозмездного поступления имущества от других бюджетов бюджетной системы Российской Федерации и поступления от бюджетных учреждений на общую сумму 51 898 974,64 руб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ньшения показателя сложилась из безвозмездной передачи имущества бюджетным и автономным учреждениям, передача имущества в муниципальную казну на сумму 38 941 874,44 руб., списание основных средств, пришедших в негодность, в том числе по причине морального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износа, списания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забаланс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Наибольший удельный вес в общей стоимости основных средств на 01.01.2025г. занимает группа «Нежилые помещения (здания и сооружения)» - 48,2%, группа «Транспортные средства» - 19,1%, группа «Машины и оборудование» - 11,8%,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«Прочие основные средства» -10,1%, группа «Жилые помещения» - 5,6%, группа «Инвентарь производственный и хозяйственный» - 5,3%.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Амортизация основных средств по состоянию на 01.01.2025г., составила 135 747 431,67 руб., за отчетный период начислено амортизации, а так же получено безвозмездно на сумму 760 123,57 руб. 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Остаточная стоимость основных средств на конец отчетного периода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оставила 56 651 520,83 руб. Степень изношенности основных средств  - 70,5 процентов.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 счету 0 103 00 000 «Непроизведенные активы» отражена кадастровая стоимость земельных участков, которая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2024 года составила 133 373 281,38 руб., что на 19 568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11,34 руб. меньше, чем в 2023 году. 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Оприходованы земельные участки: оприходованы земельные участки в сельских поселениях: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Катандинском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292 401,37 руб., за счет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оприходывания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непроизведенных активов (земельных участков) на баланс, в связи с отказом собств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енника и оприходование неучтенных земель;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Чендекском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- 24 490 265,75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 счет вовлечения вновь образованных участков в хозяйственный оборот для благоустройства территории сельской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Чендекского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(рукав Ак-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Коба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объединение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участка под детскую площадку, массив Восточная часть).</w:t>
      </w:r>
      <w:proofErr w:type="gramEnd"/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Выбытие земельных участков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Чендекском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 в связи с безвозмездной передачей бюджетным учреждениям на общую сумму – 38 717 535,32 руб. 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отчетном периоде отражено движение по счету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0 103 13 000 «Прочие непроизведенные активы», остаток на конец отчетного периода – 9 067 097,99 руб.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собственности, а так же отражено предоставление указанных объектов в постоянное (бессрочное) пользование в сумме – 767 276 руб.</w:t>
      </w:r>
    </w:p>
    <w:p w:rsidR="004B2C25" w:rsidRDefault="003C5A87">
      <w:pPr>
        <w:ind w:firstLine="720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материальных запасов на конец 2024 года по сравнению с прошлым годом уменьшилась на 2 860 048,41 руб. и составила 6 385 712,59 руб. В отчетном периоде материальные запасы получены безвозмездно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АМинистерства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и науки РА в сумме 111 680,00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АУ РА Литературно-Издательский Дом "Алтын-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на сумму 206 425,05 руб.</w:t>
      </w:r>
      <w:proofErr w:type="gramEnd"/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Остаток вложений в нефинансовые активы на конец отчетного периода увеличился на сумму 3 635 426,70 руб., и составляет 676 009 934,66 руб. Вложения в объекты незавершенного строительс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за отчетный период составили 3 719 276,84 руб., расходы на проведение государственной экспертизы проектной документации, осуществление строительного контроля составили 3 535 887,84 руб.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274"/>
        <w:gridCol w:w="2208"/>
        <w:gridCol w:w="1440"/>
        <w:gridCol w:w="1189"/>
        <w:gridCol w:w="1229"/>
      </w:tblGrid>
      <w:tr w:rsidR="004B2C2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ind w:left="180" w:firstLine="18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rPr>
          <w:gridAfter w:val="2"/>
          <w:wAfter w:w="720" w:type="dxa"/>
          <w:trHeight w:val="453"/>
        </w:trPr>
        <w:tc>
          <w:tcPr>
            <w:tcW w:w="2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Учреждение (кто получил)</w:t>
            </w:r>
          </w:p>
        </w:tc>
        <w:tc>
          <w:tcPr>
            <w:tcW w:w="2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Учреждение (от кого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получено)</w:t>
            </w:r>
          </w:p>
        </w:tc>
        <w:tc>
          <w:tcPr>
            <w:tcW w:w="2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НФА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Код аналитики</w:t>
            </w:r>
          </w:p>
        </w:tc>
      </w:tr>
      <w:tr w:rsidR="004B2C25">
        <w:trPr>
          <w:trHeight w:val="360"/>
        </w:trPr>
        <w:tc>
          <w:tcPr>
            <w:tcW w:w="2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23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401.10.191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401.10.195</w:t>
            </w:r>
          </w:p>
        </w:tc>
      </w:tr>
      <w:tr w:rsidR="004B2C25">
        <w:trPr>
          <w:trHeight w:val="913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Образования и молодежной политики администрации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образования и науки РА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материальные запасы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111 680,00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2C25">
        <w:trPr>
          <w:trHeight w:val="430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Образования и молодежной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политики администрации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образования и науки РА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материальные запасы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21 800,00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2C25">
        <w:trPr>
          <w:trHeight w:val="600"/>
        </w:trPr>
        <w:tc>
          <w:tcPr>
            <w:tcW w:w="22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район» РА</w:t>
            </w:r>
          </w:p>
        </w:tc>
        <w:tc>
          <w:tcPr>
            <w:tcW w:w="24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Сельская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Чендекского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движимое имущество казны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2C25">
        <w:trPr>
          <w:trHeight w:val="390"/>
        </w:trPr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амортизация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52 327,00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B2C25">
        <w:trPr>
          <w:trHeight w:val="390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Межрегиональное территориальное управление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агенства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управлению государственным имуществом в Алтайском крае и Республике Алтай</w:t>
            </w:r>
          </w:p>
        </w:tc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район» РА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недвижимое имущество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139 032,98</w:t>
            </w:r>
          </w:p>
        </w:tc>
      </w:tr>
      <w:tr w:rsidR="004B2C25">
        <w:trPr>
          <w:trHeight w:val="450"/>
        </w:trPr>
        <w:tc>
          <w:tcPr>
            <w:tcW w:w="22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Межрегиональное территориальное управление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агенства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управлению государственным имуществом в Алтайском крае и Республике Алтай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район» РА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недвижимое имущество казны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195 556,81</w:t>
            </w:r>
          </w:p>
        </w:tc>
      </w:tr>
      <w:tr w:rsidR="004B2C25">
        <w:trPr>
          <w:trHeight w:val="180"/>
        </w:trPr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18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shd w:val="clear" w:color="auto" w:fill="D9D9D9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. амортизация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shd w:val="clear" w:color="auto" w:fill="D9D9D9"/>
              <w:jc w:val="center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shd w:val="clear" w:color="auto" w:fill="D9D9D9"/>
              <w:jc w:val="right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shd w:val="clear" w:color="auto" w:fill="D9D9D9"/>
              <w:jc w:val="right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  <w:t>195 556,81</w:t>
            </w:r>
          </w:p>
        </w:tc>
      </w:tr>
      <w:tr w:rsidR="004B2C25">
        <w:trPr>
          <w:trHeight w:val="630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Сельская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Чендекского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район» РА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непроизведенные активы казны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38 717 535,32</w:t>
            </w:r>
          </w:p>
        </w:tc>
      </w:tr>
      <w:tr w:rsidR="004B2C25">
        <w:trPr>
          <w:trHeight w:val="345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экономического развития РА</w:t>
            </w:r>
          </w:p>
        </w:tc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Администрация МО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движимое имущество казны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11 383 528,93</w:t>
            </w:r>
          </w:p>
        </w:tc>
      </w:tr>
      <w:tr w:rsidR="004B2C25">
        <w:trPr>
          <w:trHeight w:val="345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Межрегиональное территориальное управление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агенства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управлению государственным имуществом в Алтайском крае и Республике Алтай</w:t>
            </w:r>
          </w:p>
        </w:tc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нематериальные активы казны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406 432,00</w:t>
            </w:r>
          </w:p>
        </w:tc>
      </w:tr>
      <w:tr w:rsidR="004B2C25">
        <w:trPr>
          <w:trHeight w:val="568"/>
        </w:trPr>
        <w:tc>
          <w:tcPr>
            <w:tcW w:w="22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Межрегиональное территориальное управление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агенства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управлению государственным имуществом в Алтайском крае и Республике Алтай</w:t>
            </w:r>
          </w:p>
        </w:tc>
        <w:tc>
          <w:tcPr>
            <w:tcW w:w="24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недвижимое имущество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казны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477 666,00</w:t>
            </w:r>
          </w:p>
        </w:tc>
      </w:tr>
      <w:tr w:rsidR="004B2C25">
        <w:trPr>
          <w:trHeight w:val="413"/>
        </w:trPr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. амортизация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365 934,33</w:t>
            </w:r>
          </w:p>
        </w:tc>
      </w:tr>
      <w:tr w:rsidR="004B2C25">
        <w:trPr>
          <w:trHeight w:val="390"/>
        </w:trPr>
        <w:tc>
          <w:tcPr>
            <w:tcW w:w="22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Бюджетное учреждение Республики Алтай "Республиканский центр народного творчества"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движимое имущество казны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67 305,43</w:t>
            </w:r>
          </w:p>
        </w:tc>
      </w:tr>
      <w:tr w:rsidR="004B2C25">
        <w:trPr>
          <w:trHeight w:val="300"/>
        </w:trPr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shd w:val="clear" w:color="auto" w:fill="D9D9D9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. амортизация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shd w:val="clear" w:color="auto" w:fill="D9D9D9"/>
              <w:jc w:val="center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shd w:val="clear" w:color="auto" w:fill="D9D9D9"/>
              <w:jc w:val="right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shd w:val="clear" w:color="auto" w:fill="D9D9D9"/>
              <w:jc w:val="right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67 305,43</w:t>
            </w:r>
          </w:p>
        </w:tc>
      </w:tr>
      <w:tr w:rsidR="004B2C25">
        <w:trPr>
          <w:trHeight w:val="675"/>
        </w:trPr>
        <w:tc>
          <w:tcPr>
            <w:tcW w:w="22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Сельская администрация Верх-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Уймонского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машины и оборудование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39 500,00</w:t>
            </w:r>
          </w:p>
        </w:tc>
      </w:tr>
      <w:tr w:rsidR="004B2C25">
        <w:trPr>
          <w:trHeight w:val="675"/>
        </w:trPr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. амортизация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39 500,00</w:t>
            </w:r>
          </w:p>
        </w:tc>
      </w:tr>
      <w:tr w:rsidR="004B2C25">
        <w:trPr>
          <w:trHeight w:val="675"/>
        </w:trPr>
        <w:tc>
          <w:tcPr>
            <w:tcW w:w="22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Сельская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машины и оборудование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39 500,00</w:t>
            </w:r>
          </w:p>
        </w:tc>
      </w:tr>
      <w:tr w:rsidR="004B2C25">
        <w:trPr>
          <w:trHeight w:val="675"/>
        </w:trPr>
        <w:tc>
          <w:tcPr>
            <w:tcW w:w="22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. амортизация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39,500</w:t>
            </w:r>
          </w:p>
        </w:tc>
      </w:tr>
      <w:tr w:rsidR="004B2C25">
        <w:trPr>
          <w:trHeight w:val="675"/>
        </w:trPr>
        <w:tc>
          <w:tcPr>
            <w:tcW w:w="2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Сельская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Талдинского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материалные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запасы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40 685,12</w:t>
            </w:r>
          </w:p>
        </w:tc>
      </w:tr>
      <w:tr w:rsidR="004B2C25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185 807,00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51 367 709,61</w:t>
            </w:r>
          </w:p>
        </w:tc>
      </w:tr>
      <w:tr w:rsidR="004B2C25">
        <w:trPr>
          <w:trHeight w:val="30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амортизация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52 327,00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707 796,57</w:t>
            </w:r>
          </w:p>
        </w:tc>
      </w:tr>
    </w:tbl>
    <w:p w:rsidR="004B2C25" w:rsidRDefault="003C5A87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1520" w:type="dxa"/>
        <w:tblInd w:w="-88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995"/>
        <w:gridCol w:w="2340"/>
        <w:gridCol w:w="1080"/>
        <w:gridCol w:w="1260"/>
        <w:gridCol w:w="906"/>
        <w:gridCol w:w="1419"/>
      </w:tblGrid>
      <w:tr w:rsidR="004B2C25">
        <w:trPr>
          <w:gridAfter w:val="6"/>
          <w:wAfter w:w="2160" w:type="dxa"/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rPr>
          <w:gridAfter w:val="3"/>
          <w:wAfter w:w="1080" w:type="dxa"/>
          <w:trHeight w:val="300"/>
        </w:trPr>
        <w:tc>
          <w:tcPr>
            <w:tcW w:w="2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Учреждение (кто передал)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Учреждение (кому передано)</w:t>
            </w:r>
          </w:p>
        </w:tc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НФА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КВР</w:t>
            </w:r>
          </w:p>
        </w:tc>
      </w:tr>
      <w:tr w:rsidR="004B2C25">
        <w:trPr>
          <w:trHeight w:val="300"/>
        </w:trPr>
        <w:tc>
          <w:tcPr>
            <w:tcW w:w="2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401.20.251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401.20.254</w:t>
            </w:r>
          </w:p>
        </w:tc>
      </w:tr>
      <w:tr w:rsidR="004B2C25">
        <w:trPr>
          <w:trHeight w:val="693"/>
        </w:trPr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Сельская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Чендекского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райгона</w:t>
            </w:r>
            <w:proofErr w:type="spellEnd"/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транспортное средство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52 327,00 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B2C25">
        <w:trPr>
          <w:trHeight w:val="500"/>
        </w:trPr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. амортизация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52 327,00 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B2C25">
        <w:trPr>
          <w:trHeight w:val="34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Сельская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Талдинского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района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материальные запасы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40 652,12</w:t>
            </w:r>
          </w:p>
        </w:tc>
      </w:tr>
      <w:tr w:rsidR="004B2C25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Сельская 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Огневского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имущество казны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39 500,00</w:t>
            </w:r>
          </w:p>
        </w:tc>
      </w:tr>
      <w:tr w:rsidR="004B2C25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материалные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запасы казны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39 500,00</w:t>
            </w:r>
          </w:p>
        </w:tc>
      </w:tr>
      <w:tr w:rsidR="004B2C25">
        <w:trPr>
          <w:trHeight w:val="450"/>
        </w:trPr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Сельская администрация Верх-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Уймонского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движимое имущество казны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shd w:val="clear" w:color="auto" w:fill="FFFFFF"/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shd w:val="clear" w:color="auto" w:fill="FFFFFF"/>
              <w:jc w:val="right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39 500,00</w:t>
            </w:r>
          </w:p>
        </w:tc>
      </w:tr>
      <w:tr w:rsidR="004B2C25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shd w:val="clear" w:color="auto" w:fill="D9D9D9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амортизация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shd w:val="clear" w:color="auto" w:fill="D9D9D9"/>
              <w:jc w:val="center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shd w:val="clear" w:color="auto" w:fill="D9D9D9"/>
              <w:jc w:val="right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shd w:val="clear" w:color="auto" w:fill="D9D9D9"/>
              <w:jc w:val="right"/>
              <w:rPr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39 500,00</w:t>
            </w:r>
          </w:p>
        </w:tc>
      </w:tr>
      <w:tr w:rsidR="004B2C25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Администрация МО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район" РА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Войсковая часть 41659 уникальный код 022ЕАВ04 ФКУ «22ФЭС» МО РФ РПБС-001А5730 ПБС-001А5737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движимое имущество казны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52 327,00</w:t>
            </w:r>
          </w:p>
        </w:tc>
      </w:tr>
      <w:tr w:rsidR="004B2C25">
        <w:trPr>
          <w:trHeight w:val="675"/>
        </w:trPr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4B2C25">
            <w:pPr>
              <w:rPr>
                <w:sz w:val="24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амортизация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52 327,00</w:t>
            </w:r>
          </w:p>
        </w:tc>
      </w:tr>
      <w:tr w:rsidR="004B2C25">
        <w:trPr>
          <w:trHeight w:val="300"/>
        </w:trPr>
        <w:tc>
          <w:tcPr>
            <w:tcW w:w="6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327,00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38 889 547,44</w:t>
            </w:r>
          </w:p>
        </w:tc>
      </w:tr>
      <w:tr w:rsidR="004B2C25">
        <w:trPr>
          <w:trHeight w:val="300"/>
        </w:trPr>
        <w:tc>
          <w:tcPr>
            <w:tcW w:w="6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амортизация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52 327,00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91 827,00</w:t>
            </w:r>
          </w:p>
        </w:tc>
      </w:tr>
    </w:tbl>
    <w:p w:rsidR="004B2C25" w:rsidRDefault="003C5A87">
      <w:pP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Остаток денежных средств на 01 января 2025 года сложился в сумме 62 252 659,59 руб., из них: остатки муниципального района составляют 50 343 948,19 руб., остатки сельских поселений – 11 908 711,40 руб. 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Остаток в кассе денежных документов (марки и маркиро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ванные конверты) на конец отчетного периода составил – 20 517,0 руб.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На конец отчетного периода числится дебиторская задолженность на общую сумму 56 141 951,82 руб., (в том числе долгосрочная- 23 461,13 руб., просроченная на сумму 41 619 184,41 руб.)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 по счетам: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 счету 205 11 000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сумму 3 593 757,12 руб., (в том числе просроченная 3 426 192,59 руб.), в бюджете сельских поселений, дебиторская задолженность на 01.01.2025г. уменьшилась на 170 636,25 руб., Задолженность образовалась в связи с неу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платой текущей задолженности по земельному налогу и налогу на имущество организаций и индивидуальных предпринимателей, физических лиц.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Дебиторская задолженность УФНС в соответствии с Налоговым кодексом Российской Федерации.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 счету 205 23 000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сумму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236 072,14 руб., в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по договорам аренды земельных участков, а так же от продажи права на заключение договоров аренды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иными нефинансовыми организациями, некоммерческими организациями.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по счету 205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45 000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общую сумму 99 974,95 руб., (в том числе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просроченная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сумму 1 500,00 руб.), в том числе: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1 500,00 руб., (в том числе просроченная 1 500,0 руб.)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поселении, задолженность по прочим суммам принудительного изъятия УФНС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 по РА, направлено в суд;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98 474,95 руб., в сельских поселениях: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Огневском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Чендекском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Талдинском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Карагайском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Амурском,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Катандинском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Горбуновском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 административным штрафам, налагаемым административной комиссией при Администраци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счету 205 51 000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сумму 455 010,85 руб., в Финансовом управление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начисление возвратных остатков межбюджетных трансфертов от сельских поселений в бюджет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он» РА.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счету 205 53 000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общую сумму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003 844,04 руб. в Управлении образования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район", отражена задолженность по возврату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бюджет неиспользованных в 2024 году остатков на иные цели в подведомственных учреждениях.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-по счету 206 23 000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общую сумму 7 239,17 руб., в Сельской администрации МО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Катандинском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 аванс по договору с АО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Алтайэнергосбыт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за услуги электроснабжения, Муниципальный контракт № 04100721015105 от 01.01.2024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по счету 206 25 000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сумму 5 482 358,56 руб., в 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заключили контракт с Индивидуальным предпринимателем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Валентин Валентинович, действующий на основании ГРН № 321040000013300, оплатили Аванс по МК № 1 по капитальному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монту здания школы МБОУ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Огневская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СОШ"  от 17 декабря 2024 г., Срок выполнения работ: 1 этап: с  момента заключения контракта – 31.12.2024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г.; 2 этап: с 01.01.2025 – 01.08.2025г.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по счету 206 26 000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сумму 38 659,11 руб., в том числе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10 759,11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б., в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РА, по договору №04-01/23-71 с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ТаймВэб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от 23.01.23 г, по условиям договора продление сроков на годовое обслуживание с 31.08.2024-31.08.2025, услуги хостинга.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27 900,00 руб., в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РА, аванс по договору № 556-Ш1-ПГС на оказание платных образовательных услуг от 8 октября 2024 г. прохождения профессиональной переподготовки по программе «Промышленное и гражданское строительство» по заочной (с использованием дистанцио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 образовательных технологий) форме. Срок обучения с 08.10.2024 по 31.10.2025 г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по счету 206 31 000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общую сумму 38 191 491,82 руб., (в том числе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посроченная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38 191 491,82 руб.), 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3 944 433,05 руб., (в том числе просроченная 3 944 433,05 руб.), в 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РА с МУП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Тепловодстрой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Сервис" Муниципальный контракт №1 от 25.11.2020 аванс 3944433,05 за работы по строительству водопровода в микрорайоне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Башталинка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села Усть-Кокса, МУП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Тепловодстрой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Сервис" не предоставили акты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выполненных работ (подрядчик). Заключили договор субподряда, субподрядчик водопровод до конца не доделал, теперь подрядчик судится с субподрядчиком. Ведутся судебные разбирательства. 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34 247 058,77 руб., (в том числе просроченная 24 247 058,77 руб.)  Сель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Талдинского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заключчили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контракт с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Химакрил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Муниципальный контракт № 1 от 29.04.2022 года, сумма 34247058,77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оплата комплекса работ "Строительства сельского дома культуры по адресу; Республика Алтай,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Сугаш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ул. Заря Алтая, д. 12" срок оплаты не позднее 31.12.2023 г. Было решение об одностороннем отказе от исполнения б/н от 21.11.2023г. Контракт расторгнут 04.12.2023года.</w:t>
      </w:r>
      <w:proofErr w:type="gramEnd"/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 счету 206 34 000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сумму 10 082,93 руб., в Управлении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льтуры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Аванс ГСМ бензин АИ 95) на 2025 г., с ИП Карякин Константин Сергеевич, Муниципальный контракт N 8 от 28.11.2024</w:t>
      </w:r>
      <w:proofErr w:type="gramEnd"/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- по счету 209 41 000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сумму 23 461,13 руб., (в том числе долгосрочная задолженность 23 461,13 руб.)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атандинском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поселении. Неустойка и проценты к ООО «Конструктор» по Решению арбитражного суда Дело № А53-36975/21 от 24.12.2021г.</w:t>
      </w:r>
    </w:p>
    <w:p w:rsidR="004B2C25" w:rsidRDefault="003C5A87">
      <w:pPr>
        <w:spacing w:line="288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конец отчетного периода числится кредиторская задолженность на общую сумму 34 574 244,48 руб., в том числе: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по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счету 205 11 000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сумму 992 457,47 руб., кредиторская задолженность УФНС по сравнению с 01.01.2024г. уменьшилась на 11 402,21 руб., (по земельному налогу и налогу на имущество);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 счету 205 45 000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сумму 2 048,00 руб., задолженность УФНС по денежным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взысканиям (штрафам) за нарушение законодательства в области налогов и сборов;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 счету 302 21 000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общую сумму 48 608,81 руб., в том числе: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36 496,58 руб., в Финансовом управление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(сумма 3 689,90 руб., Конт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 №622000097417 от 18.01.2024г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РА (сумма 31 330,19 руб., МК № 622000185810 от 29.01.2024г, МК № 622000139165 от 14.02.2024.), Совет депутатов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(сумма 1 311,60 руб., дог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 № 622000151938 от 12.02.2024г.), Управлении Образования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(сумма 164,89 руб., по  договору №622000144698 от 29.01.2024г.) за услуги телефонной связи. Срок оплаты до 20-го числа следующего за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12 112,23 руб., в сельск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поселениях: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(сумма 2 522,64 руб., договор №622000103343 от 09.01.2024г.), Амурском (сумма 5 589,59 руб., договор №622000298228 от 16.04.2024г.; сумма 4 000,00 руб., договор №622000097427 от 09.01.2024 г.). По договорам с ПАО "Ростелеком"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услуги телефонной связи. Срок оплаты до 20-го числа следующего за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 счету 302 23 000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общую сумму 76 623,46 руб., в том числе: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25 093,00 руб., в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РА, Муниципальный контракт с Акционерным обществом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Алтайэнергосбыт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№ 04100721022118 от 25.12.2023 г (за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нергию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срок оплаты 20 числа месяца, следующего за расчетным;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837,69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Управлении Культуры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РА, Муниципальный контракт с Акционерным обществом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Алтайэнергосбыт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акупка электроэнергии) N 04100721021644 от 17.01.2024г. срок оплаты 18 числа месяца, следующего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расчетным.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50 692,77 руб., в Сельской администрации Карагайского сельского поселения, в том числе: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сумма 15 286,47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руб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Алтайэнергосбыт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", Муниципальный 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онтракт №04100721015100 от 04.04.2024 электроэнергия, до 20 числа месяца, следующего за расчетным.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сумма 35 406,30 руб. Индивидуальный предприниматель Карякин Сергей Владимирович, Договор №11/2024 от 26.01.2024 производится не позднее 10 числа следующего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расчетным.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 счету 302 24 000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сумму 8 990 755,36 руб., в том числе: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8 975 680,00 руб., в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РА, Муниципальный контракт с ООО "КОМПЛЕКТСНАБ", № 23 от 26.08.2024 на срок до 12.2027 г. Услуги по финансовой аренд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лизинг) техники, согласно графика платежей (приложение к договору). Срок финансовой аренды (лизинга): 36 лизинговых периодов со дня передачи Лизингодателем Предмета лизинга Лизингополучателю в полном объеме.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15 075,36 руб.,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Чендекском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Россети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Сибирь, договор № 04.0400.2766.22 от 03.11.2022г за предоставление во временное пользование части поверхности опоры для размещения и эксплуатации оборудования наружного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освещения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производится Арендатором ежеквартально, не позднее 20 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первого месяца, следующего за отчетным кварталом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 счету 302 26 000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сумму 48 105,60 руб., в том числе: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41 223,60 руб.,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поселении, ПАО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Россети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Сибирь" договор №04.0400.1716.23 от 19.07.24 За предоставление во временное пользование часть поверхности опоры для размещения и эксплуатации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оборруд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аружного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освещения срок 20.01.20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6 882,00 руб.,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Чендекском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поселении, Редакция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Уймонские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Ведомости" Договор № 20 от 28.10.2024г., оплата за публикацию в газете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Уймонские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вести". Оплата производится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соостветствии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выставленным счетом не позднее семи рабочих дней.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счету 302 31 000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сумму 7 238 836,82 руб., в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по Муниципальному контракту №15 от 04.07.2019г., с ООО "НОВОСТРОЙ". За строительно-монтажные работы по объекту: "Общеобразовательная школа на 275 учащихся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-Кокса, ул.Садовая,2". Акты выполненных работ от 29.12.2022г., срок оплаты до 31.01.2023г. Под лимиты бюджетных обязательств 2023 года;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 счету 302 34 000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общую сумму 51 108,77 руб.,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Чендекском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поселении, ИП Карякин К.С. Договор № 29/20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от 22.03.2024г., приобретение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гсм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оплата производится до 10 числа каждого месяца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 счету 303 05 000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общую сумму 17 125 700,19 руб., в том числе: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10 107 238,31 руб., в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район», начислен возврат межбюджетных трансфе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 в Республиканский бюджет.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189 988,93 руб., в Управлении Образования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начисление задолженности по возврату остатком межбюджетных трансфертов в республиканский бюджет.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6 828 472,94 руб., в бюджете сельских поселений (455 010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,85 руб.-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Огневского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Горбуновского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Карагайского, начисление задолженности по возврату остатков межбюджетных трансфертов в бюджет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и 6 373 462,09 руб.-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Горбуновского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Республиканский бюджет).</w:t>
      </w:r>
    </w:p>
    <w:p w:rsidR="004B2C25" w:rsidRDefault="003C5A87">
      <w:pPr>
        <w:spacing w:line="288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по форме 0503127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«Отчет об исполнении бюджета главного распорядителя, распорядителя, получателя бюджетных средств»</w:t>
      </w:r>
    </w:p>
    <w:p w:rsidR="004B2C25" w:rsidRDefault="003C5A87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1845"/>
        <w:gridCol w:w="5261"/>
      </w:tblGrid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Код расхода по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бюджетной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 (20 знаков)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Сумма неисполненных назначений по БА (=сумме 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гр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10 раздела 2 ф.0503127)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Причины отклонения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0110102990Я002200121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11178,84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начисленной  заработной платой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0110102990Я002200129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6396,38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начисленными налогами на ФОТ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0110104990Я002110121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73,73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с фактически начисленной  заработной платой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0110104990Я002110129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89,13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начисленными налогами на ФОТ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0110104990Я002190121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7072,69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назначения не использованы в связи с фактически начисленной  заработной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платой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0110104990Я002190122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7188,00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0110104990Я002190129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начисленными налогами на ФОТ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0110104990Я002190851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назначения не использованы в связи с фактически начисленными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налогами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0110104990Я002190852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начисленными налогами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0110113011030100C853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01101130110304000244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011011302201S0250360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72,04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Остались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011011302201S2400360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01101130350201000111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начисленной  заработной платой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01101130350201000119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назначения не использованы в связи с фактически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начисленными налогами на ФОТ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01101130350201000244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65100,00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сумма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принятых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БО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01101130610302000242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773,21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01101130910302000244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1899,65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01101130910303000247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01101130930101000111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174,39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начисленной  заработной платой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01101130930101000112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01101130930101000119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679,50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назначения не использованы в связи с фактически начисленными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налогами на ФОТ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01101130930101000242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66555,99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часть суммы принятых БО и остатка невостребованных средств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01101130930101000247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163282,96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часть суммы принятых БО и остатка невостребованных средств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01101130930101000852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971,00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назначения не использованы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связи с фактически начисленными налогами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0110113990Я002190121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199,49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начисленной  заработной платой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0110113990Я002190129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61,20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начисленными налогами на ФОТ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01102040330501000244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9311,40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01103100350101000111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начисленной  заработной платой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01103100350101000242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3437,05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часть суммы принятых БО и остатка невостребованных средств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3100350101000851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84,50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01103100350101000852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01104090330101Д00244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8170543,44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01104120920101000244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200,10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01104120920203000244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189964,67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rPr>
          <w:trHeight w:val="259"/>
        </w:trPr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01107020720201000414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919423,93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011070207202S48П0414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10306122,45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01108010810200C244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8500000,00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01110030510102001321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250596,00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Остались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01111021110201000244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2600000,56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01111021110201000350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542,06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05708040840201000111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67,82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начисленной  заработной платой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05708040610302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000242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 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05708040840201000244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6 354,82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 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05708040840201000247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1 024,39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0570804084Я100110121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47,29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Назначения не использованы в связи с фактически начисленной 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заработной платой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0570804084Я100110129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3 374,15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начисленными налогами на ФОТ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0570804084Я100190122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0570804084Я100190244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0570804084Я100190851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0570804084Я10019853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074070207201S0090611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6391,44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Исполнено по факту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07407020720202000612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59363,12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Исполнено по факту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07407030730101000635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Исполнено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факту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07407030730101000816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Исполнено по факту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07407090610201000242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4422,00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Исполнено по факту 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07407090610302000242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50567,00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Исполнено по факту 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07407090740201000111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2275,08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Оплата труда начислена по  фактически отработанным дням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07407090740201000112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89660,00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Командировочные расходы  исполнены по факту. 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07407090740201000113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46432,00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Командировочные расходы  исполнены по факту.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07407090740201000119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11778,16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Страховые  выплаты оплачены по факту начисления  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07407090740201000244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101694,86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Исполнено по факту 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07407090740201000247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29419,37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Фактические расчеты по коммунальным услугам 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0740709074Я100190122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11410,00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Командировочные расходы  исполнены по факту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07407090740201000242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19573,41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Фактические расчеты по  оплате за услуги свя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зи 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07407090740201000852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9613,00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Оплачено по факту транспортный налог.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07407090740201000853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3714,00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Оплачен по факту    налог по загрязнению  окружающей  среды.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0740709074Я100190851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Оплачен по факту    налог по загрязнению  окружающей  среды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07407090740242035111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Остались не 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07407090740242035119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6353,03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Остались не 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0740709074Я100190121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220385,19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Оплата труда начислена по  фактически отработанным дням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0740709074Я100190129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93979,66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Страховые  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оплачены по факту начисления  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0740709074Я100110129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3174,74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Страховые  выплаты оплачены по факту начисления  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0740709074Я100110121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6849,09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Оплата труда начислена по  фактически отработанным дням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07407090740301000244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8352,42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Оплата  по договору по факту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07410040710142010321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183635,83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Оплата  по договору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07410709101010100244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4050,00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Оплата  по договору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09201060610302000242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63,40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Оплата по факту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0920106062Я100110121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312,42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начисленной  заработной платой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0920106062Я100110129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992,07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начисленными налогами на ФОТ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0920106062Я100190121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17,51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ески начисленной  заработной платой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0920106062Я100190129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21,57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назначения не использованы в связи с фактически начисленными налогами на ФОТ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0920106062Я100190242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6377,95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Оплата по факту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09213010610101000730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 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8010102990Я000200121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28958,05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Экономия заработной платы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8010102990Я000200129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13 270,33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Экономия взносов по обязательному социальному страхованию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8010104990Я000110121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25878,90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Экономия заработной платы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8010104990Я000110129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7773,21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Экономия взносов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обязательному социальному страхованию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8010104990Я000190121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79217,88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Экономия заработной платы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8010104990Я000190122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14896,00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 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8010104990Я000190129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17454,94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Экономия взносов по обязательному социальному страхованию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8010104990Я0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00190242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47887,11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8010104990Я000190244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5343,27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8010104990Я000190247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92149,00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8010104990Я000190851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61943,65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8010104990Я000190852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2744,50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8010104990Я000190853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1651,57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8010104990Я0S0200121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 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8010111990000Ш000870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34784,63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80101130120602000244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Экономия взносов по обязательному социальному страхованию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80101130140101001244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80101130140201001244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801011399Ц000190121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29367,26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801011399Ц000190122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1196,00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Остались не востребованными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801011399Ц000190129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32684,42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Экономия взносов по обязательному социальному страхованию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801011399Ц000190242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45132,32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801011399Ц000190244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738521,34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Оплата по факту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801011399Ц000190247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9288,18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801011399Ц000190853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302,80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8010113990Ц000И9С244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23564,00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80103100120201000244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80103100120301000244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80103140120401000244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1575,50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80103140140101000244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80104090120101Д10244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171,71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80104120150101000121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3876,87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80104120150101000129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13037,69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Экономия взносов по обязательному социальному страхованию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80104120150101000244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173000,00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Оплата по факту выполненных работ</w:t>
            </w:r>
          </w:p>
        </w:tc>
      </w:tr>
      <w:tr w:rsidR="004B2C25"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43391970,34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4B2C25" w:rsidRDefault="003C5A87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выявленным недостачам финансовых и нефинансовых активов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3302"/>
        <w:gridCol w:w="3302"/>
      </w:tblGrid>
      <w:tr w:rsidR="004B2C25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Недостачи государственной собственности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выявленных недостач Контрольно-счетной палатой Республики Алтай, УФК по Республике Алтай, Комитетом по контролю (надзору) Республики Алтай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выявленны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недостач самостоятельно учреждением</w:t>
            </w:r>
          </w:p>
        </w:tc>
      </w:tr>
      <w:tr w:rsidR="004B2C25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Финансовые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B2C25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Нефинансовые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B2C25" w:rsidRDefault="003C5A87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остатках субсидий, субвенций и иных межбюджетных трансфертов, имеющих целевое назначение, предоставленных из федерального бюджета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450"/>
        <w:gridCol w:w="628"/>
        <w:gridCol w:w="602"/>
        <w:gridCol w:w="1146"/>
        <w:gridCol w:w="749"/>
        <w:gridCol w:w="652"/>
        <w:gridCol w:w="1296"/>
        <w:gridCol w:w="786"/>
        <w:gridCol w:w="652"/>
        <w:gridCol w:w="1378"/>
      </w:tblGrid>
      <w:tr w:rsidR="004B2C25"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ГРБС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Код дохода остатка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(219...)</w:t>
            </w:r>
          </w:p>
        </w:tc>
        <w:tc>
          <w:tcPr>
            <w:tcW w:w="8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цели</w:t>
            </w:r>
          </w:p>
        </w:tc>
        <w:tc>
          <w:tcPr>
            <w:tcW w:w="26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Остаток на 01.01.2024г</w:t>
            </w:r>
          </w:p>
        </w:tc>
        <w:tc>
          <w:tcPr>
            <w:tcW w:w="2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Восстановленные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2024 </w:t>
            </w:r>
          </w:p>
        </w:tc>
        <w:tc>
          <w:tcPr>
            <w:tcW w:w="17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Остаток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01.01.2025г</w:t>
            </w:r>
          </w:p>
        </w:tc>
      </w:tr>
      <w:tr w:rsidR="004B2C25"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/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/>
        </w:tc>
        <w:tc>
          <w:tcPr>
            <w:tcW w:w="8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причины возникновения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 возврата в 2024г в ФБ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Причины возникновения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восстановленных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2024г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 возврата в 2024году в ФБ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возникновения</w:t>
            </w:r>
          </w:p>
        </w:tc>
      </w:tr>
      <w:tr w:rsidR="004B2C25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011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21960010050000150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23-54970-00000-00000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0,00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302,65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не востребованные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0,00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302,65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Возврат прошел в январе 2025 г</w:t>
            </w:r>
          </w:p>
        </w:tc>
      </w:tr>
      <w:tr w:rsidR="004B2C25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2C25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2C25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по выявленным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нарушениям при управлении и распоряжении государственной собственностью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4B2C25"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фактов выявленных нарушений при управлении и распоряжении государственной собственностью, (в единицах).</w:t>
            </w:r>
          </w:p>
        </w:tc>
      </w:tr>
      <w:tr w:rsidR="004B2C25"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Нарушения при управлении и распоряжении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государственной собственностью</w:t>
            </w:r>
          </w:p>
        </w:tc>
        <w:tc>
          <w:tcPr>
            <w:tcW w:w="4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66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1"/>
        <w:gridCol w:w="1660"/>
        <w:gridCol w:w="1744"/>
        <w:gridCol w:w="575"/>
        <w:gridCol w:w="1410"/>
      </w:tblGrid>
      <w:tr w:rsidR="004B2C25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количестве объектов МО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Усть-Коксинский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район» РА</w:t>
            </w:r>
          </w:p>
        </w:tc>
      </w:tr>
      <w:tr w:rsidR="004B2C25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Courier New" w:eastAsia="Courier New" w:hAnsi="Courier New" w:cs="Courier New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B2C25">
        <w:trPr>
          <w:trHeight w:val="675"/>
        </w:trPr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 БУ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объектов, шт.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(ф.0503168)</w:t>
            </w:r>
          </w:p>
        </w:tc>
      </w:tr>
      <w:tr w:rsidR="004B2C25">
        <w:trPr>
          <w:trHeight w:val="300"/>
        </w:trPr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помещения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0101Х1000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11 537 780,91</w:t>
            </w:r>
          </w:p>
        </w:tc>
      </w:tr>
      <w:tr w:rsidR="004B2C25">
        <w:trPr>
          <w:trHeight w:val="450"/>
        </w:trPr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Нежилые помещения (здания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сооружения)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0101Х2000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92 879 267,20</w:t>
            </w:r>
          </w:p>
        </w:tc>
      </w:tr>
      <w:tr w:rsidR="004B2C25">
        <w:trPr>
          <w:trHeight w:val="300"/>
        </w:trPr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0101Х3000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2C25">
        <w:trPr>
          <w:trHeight w:val="300"/>
        </w:trPr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0101Х5000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36 719 148,64</w:t>
            </w:r>
          </w:p>
        </w:tc>
      </w:tr>
      <w:tr w:rsidR="004B2C25">
        <w:trPr>
          <w:trHeight w:val="300"/>
        </w:trPr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Нематериальные активы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0102Х0000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4B2C25">
        <w:trPr>
          <w:trHeight w:val="300"/>
        </w:trPr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0103Х1000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124 306 183,39</w:t>
            </w:r>
          </w:p>
        </w:tc>
      </w:tr>
      <w:tr w:rsidR="004B2C25">
        <w:trPr>
          <w:trHeight w:val="450"/>
        </w:trPr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Недвижимое имущество в составе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имущества казны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010851000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88 695 308,32</w:t>
            </w:r>
          </w:p>
        </w:tc>
      </w:tr>
      <w:tr w:rsidR="004B2C25">
        <w:trPr>
          <w:trHeight w:val="450"/>
        </w:trPr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Нематериальные активы в составе имущества казны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010854000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B2C25">
        <w:trPr>
          <w:trHeight w:val="450"/>
        </w:trPr>
        <w:tc>
          <w:tcPr>
            <w:tcW w:w="4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Непроизведенные активы в составе имущества казны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010855000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115 289 706,27</w:t>
            </w:r>
          </w:p>
        </w:tc>
      </w:tr>
    </w:tbl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966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841"/>
        <w:gridCol w:w="6519"/>
      </w:tblGrid>
      <w:tr w:rsidR="004B2C25">
        <w:trPr>
          <w:trHeight w:val="300"/>
        </w:trPr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Расшифровка расходов отраженных по коду видов расходов 853 "Уплата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иных платежей"</w:t>
            </w:r>
          </w:p>
        </w:tc>
      </w:tr>
      <w:tr w:rsidR="004B2C25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B2C25">
        <w:trPr>
          <w:trHeight w:val="69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Вид расходов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</w:tc>
        <w:tc>
          <w:tcPr>
            <w:tcW w:w="6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Пояснения</w:t>
            </w:r>
          </w:p>
        </w:tc>
      </w:tr>
      <w:tr w:rsidR="004B2C25">
        <w:trPr>
          <w:trHeight w:val="900"/>
        </w:trPr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853</w:t>
            </w:r>
          </w:p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11 657,75</w:t>
            </w:r>
          </w:p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4B2C25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15,24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пеня на страховые взносы на обязательное соц. страх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несчастных случаев на произв.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проф. заболеваний начисленные на выплаты сотрудникам </w:t>
            </w:r>
          </w:p>
        </w:tc>
      </w:tr>
      <w:tr w:rsidR="004B2C25">
        <w:trPr>
          <w:trHeight w:val="60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3 334,17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 на окружающую среду</w:t>
            </w:r>
          </w:p>
        </w:tc>
      </w:tr>
      <w:tr w:rsidR="004B2C25">
        <w:trPr>
          <w:trHeight w:val="90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ЕФС-1 не представление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срок сведений о начисленных страховых взносах на обязательное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от несчастных случаях,</w:t>
            </w:r>
          </w:p>
        </w:tc>
      </w:tr>
      <w:tr w:rsidR="004B2C25">
        <w:trPr>
          <w:trHeight w:val="90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280,20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6-НДФЛ был предоставлен с опозданием </w:t>
            </w:r>
          </w:p>
        </w:tc>
      </w:tr>
      <w:tr w:rsidR="004B2C25">
        <w:trPr>
          <w:trHeight w:val="90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Исполнительский сбор по постановлению от 17.06.2024г (исключение сведений о границах населенных пунктов, входящих в состав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Горбуновское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поселение" лесных участков, расположенных на землях лесного фонда)</w:t>
            </w:r>
          </w:p>
        </w:tc>
      </w:tr>
      <w:tr w:rsidR="004B2C25">
        <w:trPr>
          <w:trHeight w:val="90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 за нарушение сроков предоставления НД по имуществу</w:t>
            </w:r>
          </w:p>
        </w:tc>
      </w:tr>
      <w:tr w:rsidR="004B2C25">
        <w:trPr>
          <w:trHeight w:val="90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378,92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Пеня АО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Алтайэнергосбыт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штрафы (1000,00-СФР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,)</w:t>
            </w:r>
            <w:proofErr w:type="gramEnd"/>
          </w:p>
        </w:tc>
      </w:tr>
      <w:tr w:rsidR="004B2C25">
        <w:trPr>
          <w:trHeight w:val="900"/>
        </w:trPr>
        <w:tc>
          <w:tcPr>
            <w:tcW w:w="13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СФР-недоимка по страховым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обязательное страхование от несчастных случаях</w:t>
            </w:r>
          </w:p>
        </w:tc>
      </w:tr>
      <w:tr w:rsidR="004B2C25">
        <w:trPr>
          <w:trHeight w:val="90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представление в срок сведений по НДФЛ</w:t>
            </w:r>
          </w:p>
        </w:tc>
      </w:tr>
      <w:tr w:rsidR="004B2C25">
        <w:trPr>
          <w:trHeight w:val="90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штрафа как вид наказания по делам об административном правонарушении по постановлению №69973/24/04007-ИП от 15.11.2024</w:t>
            </w:r>
          </w:p>
        </w:tc>
      </w:tr>
      <w:tr w:rsidR="004B2C25">
        <w:trPr>
          <w:trHeight w:val="900"/>
        </w:trPr>
        <w:tc>
          <w:tcPr>
            <w:tcW w:w="13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1 106 000,00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 на осуществление деятельности Ассоциации "Совет муниципальных образований Республики Алтай"</w:t>
            </w:r>
          </w:p>
        </w:tc>
      </w:tr>
    </w:tbl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Сведения об остатках, сложившихся в местных бюджетах по субсидиям, субвенциях и иным межбюджетным трансфертам,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импеющим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целевое назначение,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предоставленным из республиканского бюджета Республики Алтай местным бюджетам в Республике Алтай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tbl>
      <w:tblPr>
        <w:tblW w:w="915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1"/>
        <w:gridCol w:w="1357"/>
        <w:gridCol w:w="42"/>
        <w:gridCol w:w="1532"/>
        <w:gridCol w:w="1499"/>
        <w:gridCol w:w="1246"/>
        <w:gridCol w:w="1599"/>
      </w:tblGrid>
      <w:tr w:rsidR="004B2C25"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КБК расходов 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цели</w:t>
            </w:r>
          </w:p>
        </w:tc>
        <w:tc>
          <w:tcPr>
            <w:tcW w:w="4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Сумма остатка на 01.01.2025 г., рублей</w:t>
            </w:r>
          </w:p>
        </w:tc>
        <w:tc>
          <w:tcPr>
            <w:tcW w:w="1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Причина образования остатка</w:t>
            </w:r>
          </w:p>
        </w:tc>
      </w:tr>
      <w:tr w:rsidR="004B2C25"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/>
        </w:tc>
        <w:tc>
          <w:tcPr>
            <w:tcW w:w="13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</w:tr>
      <w:tr w:rsidR="004B2C25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906 1403 4040140200 521 </w:t>
            </w:r>
          </w:p>
        </w:tc>
        <w:tc>
          <w:tcPr>
            <w:tcW w:w="1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остаток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восстребован</w:t>
            </w:r>
            <w:proofErr w:type="spellEnd"/>
          </w:p>
        </w:tc>
      </w:tr>
      <w:tr w:rsidR="004B2C25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907 0113 2220140250 521 </w:t>
            </w:r>
          </w:p>
        </w:tc>
        <w:tc>
          <w:tcPr>
            <w:tcW w:w="1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70,60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не востребован</w:t>
            </w:r>
          </w:p>
        </w:tc>
      </w:tr>
      <w:tr w:rsidR="004B2C25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903 1004 02401R4970 521 </w:t>
            </w:r>
          </w:p>
        </w:tc>
        <w:tc>
          <w:tcPr>
            <w:tcW w:w="1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23-54970-00000-00000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302,65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305,71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не востребован</w:t>
            </w:r>
          </w:p>
        </w:tc>
      </w:tr>
      <w:tr w:rsidR="004B2C25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907 0113 1510242400 521 </w:t>
            </w:r>
          </w:p>
        </w:tc>
        <w:tc>
          <w:tcPr>
            <w:tcW w:w="1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2904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6860,00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6860,00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не востребован</w:t>
            </w:r>
          </w:p>
        </w:tc>
      </w:tr>
      <w:tr w:rsidR="004B2C25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 0702 07204448П0 522</w:t>
            </w:r>
          </w:p>
        </w:tc>
        <w:tc>
          <w:tcPr>
            <w:tcW w:w="1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2974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10 100 000,00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10 000 000,00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подлежит возврату</w:t>
            </w:r>
          </w:p>
        </w:tc>
      </w:tr>
      <w:tr w:rsidR="004B2C25">
        <w:trPr>
          <w:trHeight w:val="651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903 1004 3840142010 530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183 635,83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183,635,83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не востребован</w:t>
            </w:r>
          </w:p>
        </w:tc>
      </w:tr>
      <w:tr w:rsidR="004B2C25">
        <w:trPr>
          <w:trHeight w:val="700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903 0702 3840153032 540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3021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6 353,10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6 353,10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не востребован</w:t>
            </w:r>
          </w:p>
        </w:tc>
      </w:tr>
      <w:tr w:rsidR="004B2C25">
        <w:trPr>
          <w:trHeight w:val="700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903 0702 3840140080 521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36 823,32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36 823,32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причине больничных педагогов</w:t>
            </w:r>
          </w:p>
        </w:tc>
      </w:tr>
      <w:tr w:rsidR="004B2C25">
        <w:trPr>
          <w:trHeight w:val="700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903 0702 3840140090 521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80 471,29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70 471,29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не востребован</w:t>
            </w:r>
          </w:p>
        </w:tc>
      </w:tr>
      <w:tr w:rsidR="004B2C25">
        <w:trPr>
          <w:trHeight w:val="700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903 0702 38401400М0 521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34 098,25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34 098,25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остаток не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востребован</w:t>
            </w:r>
          </w:p>
        </w:tc>
      </w:tr>
      <w:tr w:rsidR="004B2C25">
        <w:trPr>
          <w:trHeight w:val="700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903 0702 38401R3042 521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24-53040-00000-00000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972 530,85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9 823,54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982 354,39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не востребован</w:t>
            </w:r>
          </w:p>
        </w:tc>
      </w:tr>
      <w:tr w:rsidR="004B2C25">
        <w:trPr>
          <w:trHeight w:val="700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903 0702 3840153032 540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24-53030-00000-00000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681 624,30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6 885,09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688 509,39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причине больничных листов педагогов</w:t>
            </w:r>
          </w:p>
        </w:tc>
      </w:tr>
      <w:tr w:rsidR="004B2C25">
        <w:trPr>
          <w:trHeight w:val="700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903 0702 3840150504 540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24-50500-00000-00000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49 140,20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49 140,20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причине больничных листов советников</w:t>
            </w:r>
          </w:p>
        </w:tc>
      </w:tr>
      <w:tr w:rsidR="004B2C25">
        <w:trPr>
          <w:trHeight w:val="700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903 0702 381Ю457501 521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24-57500-00000-00002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2 978 257,06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30 083,40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3 008 340,46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rPr>
          <w:trHeight w:val="700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903 0702 3820740110 521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1 682 467,33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1 382 467,33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rPr>
          <w:trHeight w:val="700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903 0702 3820240070 521 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110 090,32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110 090,32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не востребован</w:t>
            </w:r>
          </w:p>
        </w:tc>
      </w:tr>
      <w:tr w:rsidR="004B2C25">
        <w:trPr>
          <w:trHeight w:val="700"/>
        </w:trPr>
        <w:tc>
          <w:tcPr>
            <w:tcW w:w="18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 0702 381ЕВ51791 540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24-51790-00000-00000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75 848,00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766,14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76 614,14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причине больничных листов советников</w:t>
            </w:r>
          </w:p>
        </w:tc>
      </w:tr>
    </w:tbl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Расшифровка показателей, отраженных в Справке по заключению счетов бюджетного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 отчетного финансового года (ф. 0503110)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3635"/>
        <w:gridCol w:w="1145"/>
        <w:gridCol w:w="1500"/>
        <w:gridCol w:w="2624"/>
      </w:tblGrid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строки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показаттеля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Пояснения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оценки активов и обязательств, всего (включая имущество казны)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- 2764 340,20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rPr>
          <w:trHeight w:val="126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корреспонденции со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счетами 1ХХ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Х, кроме операций с материальными запасами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-2 764 340,20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Переоценка стоимости непроизведенных активов (земельных участков) (-) 2 269 361,08 руб.,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безвозмезная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передача имущества (-) 194 979,12 руб.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1ХХ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Х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части операций с материальными запасами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204.5Х, 205.ХХ, 206.ХХ, 208.ХХ, 209.ХХ, 210.ХХ, 215.5Х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204.2Х, 215.2Х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1.5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204.3Х, 215.3Х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корреспонденции со счетами 207.ХХ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302.ХХ, 303.ХХ, 304.ХХ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301.ХХ в части полученных кредитов и займов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301.ХХ в части долговых ценных бумаг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Чрезвычайные доходы от операций с активами, всего (включая имущество казны)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- 2 618 593,58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1ХХ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Х, кроме операций с материальными запасами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- 13 940,97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Чрезвычайные доходы от операций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активами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1ХХ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 в части операций с материальными запасами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5 636,49 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Операции с материальными запасами, данные ФНС РФ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2ХХ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Х, за исключением счета 207.ХХ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- 82 349,07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Списание сомнительной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задолженности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207.ХХ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- 2 870,70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Остаток на 01.01.2024г. до заключительных оборотов (отриц. значение)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2 712 117,83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Кредиторская задолженность  по субсидии  на выполнение  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задания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недофинансированная в 2023 году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 востребованная в 2024г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Прочие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неденежные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безвозмездные поступления, всего (включая имущество казны)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22 273 405,16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1ХХ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 по операциям с нефинансовыми активами, кроме операций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материальными запасами и непроизведенными активами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1ХХ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 по операциям с материальными запасами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счетами1ХХ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 по операциям с непроизведенными активами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25 003 875,12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вновь образованные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вовлеченные в хоз. оборот для благоустройства территории сельской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Чендекского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сельского поселения (рукав Ак-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объединение участка под детскую площадку, массив Восточная часть),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Оприходывание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непроизведенных активов (земельных учас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тков) на баланс, в связи с отказом собственника, оприходование неучтенных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204.5Х, 205.ХХ, 206.ХХ, 208.ХХ, 209.ХХ, 210.ХХ, 215.5Х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корреспонденции со счетами 204.2Х, 215.2Х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корреспонденции со счетами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204.3Х, 215.3Х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- 2 730 469,96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Арендаторы приобрели землю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собственость</w:t>
            </w:r>
            <w:proofErr w:type="spellEnd"/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Чрезвычайные расходы по операциям с активами, всего (включая имущество казны)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 операций с нефинансовыми активами, кроме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ччрезвычайных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расходов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операций с материальными запасами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операций с материальными запасами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B2C25"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Иное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C25" w:rsidRDefault="004B2C25">
            <w:pPr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C25" w:rsidRDefault="003C5A87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5. Прочие вопросы деятельности субъекта бюджетной отчетности</w:t>
      </w:r>
    </w:p>
    <w:p w:rsidR="004B2C25" w:rsidRDefault="003C5A87">
      <w:pPr>
        <w:spacing w:line="288" w:lineRule="auto"/>
        <w:ind w:firstLine="72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отчетном периоде при проведении годовой инвентаризации активов и обязательств,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главными распорядителями бюджетных средств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район» РА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администрациями МО сельских поселений не выявлены расхождения с данными бухгалтерского учета.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обесценения объектов нефинансовых активов не выявлены.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сведениях об испол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 судебных решений по денежным обязательствам отражена сумма 160 612,00 рублей: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сумма 10 000,00 руб.,  Администрацией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район" в текущем году было исполнено обязательство в целях мирного урегулирования спора, а именно обеспечения св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ободного доступа Истца к земельному участку с кадастровым номером 04:08:080201:93, заключили настоящее мировое соглашение по делу № 2-178/2024,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исковому заявлению истца к Ответчику 1 и Ответчику 2 о признании договора аренды недействительным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обязании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внести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изменения в схему расположения земельного участка.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ind w:firstLine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сумма 1 000,00 руб., Карагайским сельским поселением в текущем году было исполнено обязательство в целях возмещения судебных издержек истцам по оплате государственной пошлины по Судебному прика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А02-1990/2024 от 02.09.2024г. Алтайский филиал ПАО "Ростелеком".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сумма 149 612,00 руб.,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Талдинским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сельским поселением в текущем году было исполнено обязательство в целях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внесения на депозитный счет арбитражного суда денежных сумм, необходимых для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платы услуг эксперта, осуществляемые на основании соответствующего судебного определения дела № А02-2495/2023 от 29.05.2024г., код НПА 0026.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составе бюджетной отчетности за 2024 год в электронном виде в программном комплексе «Свод-СМАРТ» предоставлена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об исполнении судебных решений по денежным обязательствам учреждений (ф. 0503295). По управлению образования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 сумма 3 356 828,43 руб. по судебным решениям судов судебной системы РФ,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отражены возмещение судебных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держек истца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ошлина,пени,судебная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экспертиза) исполнительный лист № 044328755 от 27.06.2024г.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Кастахтинская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ООШ в  сумме 3 355 828,43 руб.;  возмещение судебных издержек ИСТЦАМ (госпошлина) судебный приказ № А02-558/2024 от 22.03.2024г.  Л/С 622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000099851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Кайтанакская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ООШ в сумме 1000,00 руб.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годовой отчетности за 2024 год в электронном виде в программном комплексе «Свод-СМАРТ» нарушены контрольные соотношения по проверкам: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по внутри документальным контрольным соотношениям: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Проверяем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ая форма: 490G за 2024 год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отклонение на сумму 7 238 836,82 на сумму кредиторской задолженности, по контракту на строительство «Общеобразовательной школы на 275 учащихся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-Кокса, ул.Садовая,2».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Предоставлены акты выполненных работ по объекту на 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мму 7 238 836,82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но Заказчик (Администрация МО) подала в суд претензию к подрядчик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ООО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Новострой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договориться не смогли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т.к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обнаружено нарушение в выполненных работах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(по монтажу пожарных резервуаров), суд назначил строительную экспертизу,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ется судебное разбирательство.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отклонение на сумму 3 944 433,05 руб. на сумму дебиторской задолженности,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Водопровод микрорайон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Башталинка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-Кокса.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Правило №П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т1 гр21 = т1 гр20 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3 944 433,05 руб., (в том числе просроченная 3 944 433,05 руб.), в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район" РА с МУП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Тепловодстрой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Сервис" Муниципальный контракт №1 от 25.11.2020 аванс 3 944 433,05 за работы по строительству водопровода в микрорайоне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Башталинка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села Усть-Кокса, МУП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Тепловодстрой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Сервис" не предоставили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кты выполненных работ (подрядчик). Срок выполнения нарушен, подрядчик подал в суд на субподрядчика за выполненные работы, суд назначил строительную экспертизу, ведется судебное разбирательство.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тклонение на сумму 33 343 439,91 руб.,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сумму авансирован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ия 87,7% по контракту на строительство сельского дома культуры по адресу: Республика Алтай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угаш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ул.Заря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Алтая,12. Перевод муниципального контракта на казначейское сопровождение по согласованию с контрагентом.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Правило №П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т1.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Сельс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кая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Талдинского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заключчили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контракт с ООО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Химакрил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". Муниципальный контракт № 1 от 29.04.2022 года, оплата комплекса работ "Строительства сельского дома культуры по адресу; Республика Алтай,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ул. Заря Алтая, д. 12" срок оплаты не позднее 31.12.2023 г. Работы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выполненны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Ведутся судебные разбирательства.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Проверяемая форма: 0503321G за 2024 год</w:t>
      </w:r>
    </w:p>
    <w:p w:rsidR="004B2C25" w:rsidRDefault="003C5A87">
      <w:pPr>
        <w:spacing w:line="288" w:lineRule="auto"/>
        <w:ind w:firstLine="720"/>
        <w:rPr>
          <w:color w:val="000000"/>
        </w:rPr>
      </w:pPr>
      <w:bookmarkStart w:id="3" w:name="SF2349163A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правил: 1 - Расчет и проверка</w:t>
      </w:r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Правило №ФК-1-112(1)_321 </w:t>
      </w:r>
      <w:bookmarkStart w:id="4" w:name="1RU157193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гр4,5,6,7,8,9,10,11,12,13,14,15,16,17 &gt;= 0 Комментарий: Отрицательные показатели требуют пояснений</w:t>
      </w:r>
      <w:bookmarkEnd w:id="4"/>
    </w:p>
    <w:p w:rsidR="004B2C25" w:rsidRDefault="003C5A87">
      <w:pPr>
        <w:spacing w:line="288" w:lineRule="auto"/>
        <w:ind w:firstLine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отклонение на сумму -593 521,03 руб.,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списание в порядке, установленном бюджетным законодательством, данные УФНС по РА;</w:t>
      </w:r>
    </w:p>
    <w:p w:rsidR="004B2C25" w:rsidRDefault="003C5A87">
      <w:pPr>
        <w:spacing w:line="288" w:lineRule="auto"/>
        <w:ind w:firstLine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отклонение на сумму 102 621,94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б., списание в порядке, установленном бюджетным законодательством, данные УФНС по РА;</w:t>
      </w:r>
    </w:p>
    <w:p w:rsidR="004B2C25" w:rsidRDefault="003C5A87">
      <w:pPr>
        <w:spacing w:line="288" w:lineRule="auto"/>
        <w:ind w:firstLine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отклонение на сумму 2 764 340,20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списание в порядке, установленном бюджетным законодательством, данные УФНС по РА.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по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меж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документным контрольным соотношениям: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bookmarkStart w:id="5" w:name="SF0A45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Группа правил: 7043 - Проверка 0503369G c 0503369G прошлого года</w:t>
      </w:r>
      <w:bookmarkEnd w:id="5"/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отклонение на сумму 72 000 руб., на начало года счет был указан 120628001, на конец года перенесли на 120626004 в учете Управления Образования администрации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</w:t>
      </w:r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bookmarkStart w:id="6" w:name="SF0A53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 правил: Alt_0503320_0503768(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215 00 000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капвлож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 - Проверка: 0503320G - 0503768G</w:t>
      </w:r>
      <w:bookmarkEnd w:id="6"/>
    </w:p>
    <w:p w:rsidR="004B2C25" w:rsidRDefault="003C5A87">
      <w:pPr>
        <w:spacing w:line="288" w:lineRule="auto"/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отклонение на сумму 1 667 903,89 руб., Администрация МО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Усть-Коксинский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район", в 2</w:t>
      </w:r>
    </w:p>
    <w:p w:rsidR="004B2C25" w:rsidRDefault="003C5A87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4B2C25" w:rsidRDefault="003C5A87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2C25" w:rsidRDefault="003C5A87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96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608"/>
        <w:gridCol w:w="3114"/>
      </w:tblGrid>
      <w:tr w:rsidR="004B2C25"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42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u w:val="single"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Фролова Ольга Дмитриевна</w:t>
            </w:r>
          </w:p>
        </w:tc>
      </w:tr>
      <w:tr w:rsidR="004B2C25">
        <w:trPr>
          <w:trHeight w:val="280"/>
        </w:trPr>
        <w:tc>
          <w:tcPr>
            <w:tcW w:w="25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4B2C25">
            <w:pPr>
              <w:rPr>
                <w:color w:val="000000"/>
                <w:sz w:val="24"/>
              </w:rPr>
            </w:pP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(расшифровка подписи)</w:t>
            </w:r>
          </w:p>
        </w:tc>
      </w:tr>
      <w:tr w:rsidR="004B2C25">
        <w:trPr>
          <w:trHeight w:val="281"/>
        </w:trPr>
        <w:tc>
          <w:tcPr>
            <w:tcW w:w="995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B2C2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планово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4B2C25">
            <w:pPr>
              <w:rPr>
                <w:color w:val="000000"/>
                <w:sz w:val="24"/>
              </w:rPr>
            </w:pP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4B2C25">
            <w:pPr>
              <w:rPr>
                <w:color w:val="000000"/>
                <w:sz w:val="24"/>
              </w:rPr>
            </w:pPr>
          </w:p>
        </w:tc>
      </w:tr>
      <w:tr w:rsidR="004B2C2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экономической службы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(расшифровка подписи)</w:t>
            </w:r>
          </w:p>
        </w:tc>
      </w:tr>
      <w:tr w:rsidR="004B2C25">
        <w:trPr>
          <w:trHeight w:val="281"/>
        </w:trPr>
        <w:tc>
          <w:tcPr>
            <w:tcW w:w="995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4B2C25">
            <w:pPr>
              <w:rPr>
                <w:color w:val="000000"/>
                <w:sz w:val="24"/>
              </w:rPr>
            </w:pPr>
          </w:p>
        </w:tc>
      </w:tr>
      <w:tr w:rsidR="004B2C2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ind w:left="-139" w:right="-288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u w:val="single"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B2C25" w:rsidRDefault="004B2C25">
            <w:pPr>
              <w:rPr>
                <w:color w:val="000000"/>
                <w:sz w:val="24"/>
              </w:rPr>
            </w:pPr>
          </w:p>
        </w:tc>
      </w:tr>
      <w:tr w:rsidR="004B2C25">
        <w:trPr>
          <w:trHeight w:val="281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(расшифровка подписи)</w:t>
            </w:r>
          </w:p>
        </w:tc>
      </w:tr>
      <w:tr w:rsidR="004B2C25">
        <w:trPr>
          <w:trHeight w:val="449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3C5A87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«____»______20____г.</w:t>
            </w:r>
          </w:p>
        </w:tc>
        <w:tc>
          <w:tcPr>
            <w:tcW w:w="4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4B2C25">
            <w:pPr>
              <w:rPr>
                <w:color w:val="000000"/>
                <w:sz w:val="24"/>
              </w:rPr>
            </w:pPr>
          </w:p>
        </w:tc>
        <w:tc>
          <w:tcPr>
            <w:tcW w:w="3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2C25" w:rsidRDefault="004B2C25">
            <w:pPr>
              <w:rPr>
                <w:color w:val="000000"/>
                <w:sz w:val="24"/>
              </w:rPr>
            </w:pPr>
          </w:p>
        </w:tc>
      </w:tr>
    </w:tbl>
    <w:p w:rsidR="004B2C25" w:rsidRDefault="003C5A87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подписан электронной подписью. Дата представления 12.02.2025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бухгалте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УТЯТНИКОВА ИРИНА МИХАЙЛОВНА, Сертификат: 00C7A891FF7D90D3CBA31463DF8B59CC1C, Действителен: с 26.08.2024 по 19.11.2025),Руководитель(ШАРКОВА НАДЕЖДА БЕРБЕШОВНА, Сертификат: 008DE507F1C1B1B28FFB3A6E98CCB51E7D, Действителен: с 27.03.2024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20.06.2025)        </w:t>
      </w:r>
    </w:p>
    <w:sectPr w:rsidR="004B2C25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25"/>
    <w:rsid w:val="003C5A87"/>
    <w:rsid w:val="004B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=E89E5232F001BAA63364D49637B4EE084E079588412A65C35425741F59EA797892E0F502620A7F94F578B226E3MElF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11737</Words>
  <Characters>66904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Анатолий ЭБ</cp:lastModifiedBy>
  <cp:revision>2</cp:revision>
  <dcterms:created xsi:type="dcterms:W3CDTF">2025-04-28T07:41:00Z</dcterms:created>
  <dcterms:modified xsi:type="dcterms:W3CDTF">2025-04-28T07:41:00Z</dcterms:modified>
</cp:coreProperties>
</file>