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E02F37" w:rsidRPr="00E02F37">
        <w:rPr>
          <w:b/>
        </w:rPr>
        <w:t>04:08:090201:571</w:t>
      </w:r>
      <w:r w:rsidR="005A15FD" w:rsidRPr="00E02F37">
        <w:rPr>
          <w:b/>
        </w:rPr>
        <w:t>,</w:t>
      </w:r>
      <w:r w:rsidR="00951BBB" w:rsidRPr="00E02F37">
        <w:rPr>
          <w:b/>
        </w:rPr>
        <w:t xml:space="preserve"> расположенному по адресу </w:t>
      </w:r>
      <w:r w:rsidR="00E02F37" w:rsidRPr="00E02F37">
        <w:rPr>
          <w:b/>
        </w:rPr>
        <w:t>Республика А</w:t>
      </w:r>
      <w:r w:rsidR="00E02F37" w:rsidRPr="00E02F37">
        <w:rPr>
          <w:b/>
        </w:rPr>
        <w:t>л</w:t>
      </w:r>
      <w:r w:rsidR="00E02F37" w:rsidRPr="00E02F37">
        <w:rPr>
          <w:b/>
        </w:rPr>
        <w:t>тай, Усть-Коксинский муниципальный район, п. Гагарка, ул. Березовая, 17Б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E02F37">
        <w:t>662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E02F37" w:rsidRPr="00E02F37">
        <w:rPr>
          <w:b/>
        </w:rPr>
        <w:t>04:08:090101:1287</w:t>
      </w:r>
      <w:r w:rsidR="00356F70">
        <w:t>,</w:t>
      </w:r>
      <w:r>
        <w:t xml:space="preserve"> </w:t>
      </w:r>
      <w:r w:rsidR="00E02F37" w:rsidRPr="00E02F37">
        <w:rPr>
          <w:b/>
        </w:rPr>
        <w:t>Республика Алтай, Усть-Коксинский м</w:t>
      </w:r>
      <w:r w:rsidR="00E02F37" w:rsidRPr="00E02F37">
        <w:rPr>
          <w:b/>
        </w:rPr>
        <w:t>у</w:t>
      </w:r>
      <w:r w:rsidR="00E02F37" w:rsidRPr="00E02F37">
        <w:rPr>
          <w:b/>
        </w:rPr>
        <w:t>ниципальный район, с. Верх-Уймон, ул. Рассветная, 13</w:t>
      </w:r>
      <w:r w:rsidR="00356F70" w:rsidRPr="00E02F37">
        <w:rPr>
          <w:b/>
        </w:rPr>
        <w:t xml:space="preserve"> </w:t>
      </w:r>
      <w:r w:rsidR="00356F70">
        <w:t xml:space="preserve">площадью </w:t>
      </w:r>
      <w:r w:rsidR="00E02F37">
        <w:t>1800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2A37C4" w:rsidRPr="002A37C4">
        <w:t>Для ведения личного подсобного хозяйства</w:t>
      </w:r>
      <w:r w:rsidR="002A37C4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  <w:bookmarkStart w:id="1" w:name="_GoBack"/>
      <w:bookmarkEnd w:id="1"/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2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2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3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3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D0270B">
        <w:t xml:space="preserve">от </w:t>
      </w:r>
      <w:r w:rsidR="00C15FC1">
        <w:t>01</w:t>
      </w:r>
      <w:r w:rsidRPr="00C15FC1">
        <w:t>.</w:t>
      </w:r>
      <w:r w:rsidR="00C15FC1">
        <w:t>03</w:t>
      </w:r>
      <w:r w:rsidR="00D0270B" w:rsidRPr="00C15FC1">
        <w:t>.2024</w:t>
      </w:r>
      <w:r w:rsidRPr="00C15FC1">
        <w:t xml:space="preserve"> № </w:t>
      </w:r>
      <w:r w:rsidR="00C15FC1">
        <w:t>124/1</w:t>
      </w:r>
      <w:r w:rsidRPr="00C15FC1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C3356F" w:rsidRPr="00E02F37">
        <w:rPr>
          <w:b/>
        </w:rPr>
        <w:t>04:08:090201:571</w:t>
      </w:r>
      <w:r w:rsidR="0085582B">
        <w:t xml:space="preserve">, </w:t>
      </w:r>
      <w:r>
        <w:t xml:space="preserve">площадью </w:t>
      </w:r>
      <w:r w:rsidR="00C3356F">
        <w:t>662</w:t>
      </w:r>
      <w:r w:rsidR="005A0129">
        <w:t xml:space="preserve"> </w:t>
      </w:r>
      <w:proofErr w:type="spellStart"/>
      <w:r w:rsidR="005A0129">
        <w:t>кв.м</w:t>
      </w:r>
      <w:proofErr w:type="spellEnd"/>
      <w:r w:rsidR="005A0129">
        <w:t>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C3356F">
        <w:rPr>
          <w:rFonts w:ascii="Times New Roman" w:hAnsi="Times New Roman" w:cs="Times New Roman"/>
          <w:sz w:val="24"/>
          <w:szCs w:val="24"/>
        </w:rPr>
        <w:t>30 453,3</w:t>
      </w:r>
      <w:r w:rsidR="00356F70">
        <w:rPr>
          <w:rFonts w:ascii="Times New Roman" w:hAnsi="Times New Roman" w:cs="Times New Roman"/>
          <w:sz w:val="24"/>
          <w:szCs w:val="24"/>
        </w:rPr>
        <w:t>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="00C3356F">
        <w:rPr>
          <w:rFonts w:ascii="Times New Roman" w:hAnsi="Times New Roman" w:cs="Times New Roman"/>
          <w:sz w:val="24"/>
          <w:szCs w:val="24"/>
        </w:rPr>
        <w:t>15 200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C3356F">
        <w:rPr>
          <w:rFonts w:ascii="Times New Roman" w:hAnsi="Times New Roman" w:cs="Times New Roman"/>
          <w:sz w:val="24"/>
          <w:szCs w:val="24"/>
        </w:rPr>
        <w:t>900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C3356F">
        <w:rPr>
          <w:rFonts w:ascii="Times New Roman" w:eastAsia="Calibri" w:hAnsi="Times New Roman" w:cs="Times New Roman"/>
          <w:b/>
          <w:sz w:val="25"/>
          <w:szCs w:val="25"/>
        </w:rPr>
        <w:t>Верх-</w:t>
      </w:r>
      <w:proofErr w:type="spellStart"/>
      <w:r w:rsidR="00C3356F">
        <w:rPr>
          <w:rFonts w:ascii="Times New Roman" w:eastAsia="Calibri" w:hAnsi="Times New Roman" w:cs="Times New Roman"/>
          <w:b/>
          <w:sz w:val="25"/>
          <w:szCs w:val="25"/>
        </w:rPr>
        <w:t>Уймонского</w:t>
      </w:r>
      <w:proofErr w:type="spellEnd"/>
      <w:r w:rsidR="000731C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0731C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bCs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щади земельного участка, 30%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Верх-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Уймонского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lastRenderedPageBreak/>
        <w:t>СП Усть-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района: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минимальный размер – 0,06 га в населенных пунктах; 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</w:t>
      </w:r>
      <w:r w:rsidRPr="00942057">
        <w:rPr>
          <w:rFonts w:ascii="Times New Roman" w:hAnsi="Times New Roman" w:cs="Times New Roman"/>
          <w:bCs/>
          <w:sz w:val="25"/>
          <w:szCs w:val="25"/>
        </w:rPr>
        <w:t>м</w:t>
      </w:r>
      <w:r w:rsidRPr="00942057">
        <w:rPr>
          <w:rFonts w:ascii="Times New Roman" w:hAnsi="Times New Roman" w:cs="Times New Roman"/>
          <w:sz w:val="25"/>
          <w:szCs w:val="25"/>
        </w:rPr>
        <w:t>аксимальные размеры земельных участков - 0, 18 га;</w:t>
      </w:r>
    </w:p>
    <w:p w:rsidR="00C3356F" w:rsidRPr="00942057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В случаях, когда размер формируемого земельного участка, находящегося в фактическом пользовании граждан до 2010 года, то для данного земельного участка его размеры являются: 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- предельные максимальные размеры – 0, 30 га; 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минимальные размеры – 0,20 га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Допускается для ведения ЛПХ выделение части ЗУ до установленной </w:t>
      </w:r>
      <w:r w:rsidRPr="00942057">
        <w:rPr>
          <w:rFonts w:ascii="Times New Roman" w:hAnsi="Times New Roman" w:cs="Times New Roman"/>
          <w:sz w:val="25"/>
          <w:szCs w:val="25"/>
          <w:lang w:val="en-US"/>
        </w:rPr>
        <w:t>max</w:t>
      </w:r>
      <w:r w:rsidRPr="00942057">
        <w:rPr>
          <w:rFonts w:ascii="Times New Roman" w:hAnsi="Times New Roman" w:cs="Times New Roman"/>
          <w:sz w:val="25"/>
          <w:szCs w:val="25"/>
        </w:rPr>
        <w:t xml:space="preserve"> нормы, за пределами жилой зоны. Этажность - до 3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Минимальный отступ от красной линии улиц – 5 м, от проездов – 3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Расстояние от границ соседних участков жилого дома не менее 3 м, вспомогательных строений не менее 1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Если дом высотой до трех надземных этажей, то расстояние от окон жилых комнат до стен соседнего дома и вспомогательных построек, расположенных на соседнем ЗУ не менее 6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</w:t>
      </w:r>
      <w:r w:rsidRPr="00942057">
        <w:rPr>
          <w:rFonts w:ascii="Times New Roman" w:hAnsi="Times New Roman" w:cs="Times New Roman"/>
          <w:sz w:val="25"/>
          <w:szCs w:val="25"/>
        </w:rPr>
        <w:t>а</w:t>
      </w:r>
      <w:r w:rsidRPr="00942057">
        <w:rPr>
          <w:rFonts w:ascii="Times New Roman" w:hAnsi="Times New Roman" w:cs="Times New Roman"/>
          <w:sz w:val="25"/>
          <w:szCs w:val="25"/>
        </w:rPr>
        <w:t>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Федерального закона от 22 июля 2008 г. N 123-ФЗ "Технический регламент о требованиях п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жарной безопасности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942057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6 - 15 м.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6B0783" w:rsidRDefault="00F07686" w:rsidP="00C3356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56F" w:rsidRPr="00C3356F">
        <w:rPr>
          <w:rFonts w:ascii="Times New Roman" w:hAnsi="Times New Roman" w:cs="Times New Roman"/>
          <w:sz w:val="24"/>
          <w:szCs w:val="24"/>
        </w:rPr>
        <w:t>Вид ограничения (обременения): Ограничения прав на земельный участок, пред</w:t>
      </w:r>
      <w:r w:rsidR="00C3356F" w:rsidRPr="00C3356F">
        <w:rPr>
          <w:rFonts w:ascii="Times New Roman" w:hAnsi="Times New Roman" w:cs="Times New Roman"/>
          <w:sz w:val="24"/>
          <w:szCs w:val="24"/>
        </w:rPr>
        <w:t>у</w:t>
      </w:r>
      <w:r w:rsidR="00C3356F" w:rsidRPr="00C3356F">
        <w:rPr>
          <w:rFonts w:ascii="Times New Roman" w:hAnsi="Times New Roman" w:cs="Times New Roman"/>
          <w:sz w:val="24"/>
          <w:szCs w:val="24"/>
        </w:rPr>
        <w:t>смотренные статьей 56 Земельного кодекса Российской Федерации; срок действия: c 04.07.2023; Реквизиты документа-основания: Приказ "Об определении границ зон подтопления водными об</w:t>
      </w:r>
      <w:r w:rsidR="00C3356F" w:rsidRPr="00C3356F">
        <w:rPr>
          <w:rFonts w:ascii="Times New Roman" w:hAnsi="Times New Roman" w:cs="Times New Roman"/>
          <w:sz w:val="24"/>
          <w:szCs w:val="24"/>
        </w:rPr>
        <w:t>ъ</w:t>
      </w:r>
      <w:r w:rsidR="00C3356F" w:rsidRPr="00C3356F">
        <w:rPr>
          <w:rFonts w:ascii="Times New Roman" w:hAnsi="Times New Roman" w:cs="Times New Roman"/>
          <w:sz w:val="24"/>
          <w:szCs w:val="24"/>
        </w:rPr>
        <w:t xml:space="preserve">ектами территории </w:t>
      </w:r>
      <w:proofErr w:type="gramStart"/>
      <w:r w:rsidR="00C3356F" w:rsidRPr="00C33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356F" w:rsidRPr="00C33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56F" w:rsidRPr="00C3356F">
        <w:rPr>
          <w:rFonts w:ascii="Times New Roman" w:hAnsi="Times New Roman" w:cs="Times New Roman"/>
          <w:sz w:val="24"/>
          <w:szCs w:val="24"/>
        </w:rPr>
        <w:t>Гагарка</w:t>
      </w:r>
      <w:proofErr w:type="gramEnd"/>
      <w:r w:rsidR="00C3356F" w:rsidRPr="00C3356F">
        <w:rPr>
          <w:rFonts w:ascii="Times New Roman" w:hAnsi="Times New Roman" w:cs="Times New Roman"/>
          <w:sz w:val="24"/>
          <w:szCs w:val="24"/>
        </w:rPr>
        <w:t xml:space="preserve"> Усть-</w:t>
      </w:r>
      <w:proofErr w:type="spellStart"/>
      <w:r w:rsidR="00C3356F" w:rsidRPr="00C3356F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="00C3356F" w:rsidRPr="00C3356F">
        <w:rPr>
          <w:rFonts w:ascii="Times New Roman" w:hAnsi="Times New Roman" w:cs="Times New Roman"/>
          <w:sz w:val="24"/>
          <w:szCs w:val="24"/>
        </w:rPr>
        <w:t xml:space="preserve"> района Республики Алтай" от 2022-07-08 № 70пр выдан: Федеральное агентство водных ресурсов (Верхне-Обское бассейновое водное управление). Земельный участок подлежит снятию с государственного кадастрового учета по истечении пяти лет со дня его государственн</w:t>
      </w:r>
      <w:r w:rsidR="00C3356F">
        <w:rPr>
          <w:rFonts w:ascii="Times New Roman" w:hAnsi="Times New Roman" w:cs="Times New Roman"/>
          <w:sz w:val="24"/>
          <w:szCs w:val="24"/>
        </w:rPr>
        <w:t xml:space="preserve">ого кадастрового учета, если на </w:t>
      </w:r>
      <w:r w:rsidR="00C3356F" w:rsidRPr="00C3356F">
        <w:rPr>
          <w:rFonts w:ascii="Times New Roman" w:hAnsi="Times New Roman" w:cs="Times New Roman"/>
          <w:sz w:val="24"/>
          <w:szCs w:val="24"/>
        </w:rPr>
        <w:t>него не будут зарегистрированы права.</w:t>
      </w:r>
    </w:p>
    <w:p w:rsidR="00C3356F" w:rsidRDefault="00C3356F" w:rsidP="00C3356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356F">
        <w:rPr>
          <w:b/>
        </w:rPr>
        <w:t>Вид</w:t>
      </w:r>
      <w:r w:rsidRPr="00C3356F">
        <w:rPr>
          <w:b/>
          <w:spacing w:val="-5"/>
        </w:rPr>
        <w:t xml:space="preserve"> </w:t>
      </w:r>
      <w:r w:rsidRPr="00C3356F">
        <w:rPr>
          <w:b/>
          <w:spacing w:val="-2"/>
        </w:rPr>
        <w:t>обременения</w:t>
      </w:r>
      <w:r>
        <w:rPr>
          <w:b/>
          <w:spacing w:val="-2"/>
        </w:rPr>
        <w:t>:</w:t>
      </w:r>
      <w:r w:rsidRPr="00C3356F">
        <w:t xml:space="preserve"> 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022004000000, Ограничения прав на земельный учас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ток, предусмотренные статьей 56 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3356F">
        <w:rPr>
          <w:rFonts w:ascii="Times New Roman" w:hAnsi="Times New Roman" w:cs="Times New Roman"/>
          <w:b/>
          <w:spacing w:val="-2"/>
          <w:sz w:val="24"/>
          <w:szCs w:val="24"/>
        </w:rPr>
        <w:t>Содержание ограничения (обременения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): Установлены ограничения в соответствии с п.6 ст. 67.1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одного кодекса РФ от 03.06.2006 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№74-ФЗ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3356F" w:rsidRPr="00C3356F" w:rsidRDefault="00C3356F" w:rsidP="00C3356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356F">
        <w:rPr>
          <w:rFonts w:ascii="Times New Roman" w:hAnsi="Times New Roman" w:cs="Times New Roman"/>
          <w:b/>
          <w:spacing w:val="-2"/>
          <w:sz w:val="24"/>
          <w:szCs w:val="24"/>
        </w:rPr>
        <w:t>Документ-основание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558227000000, Решение об установлении или изменении границ зон с особыми условиями использования территорий</w:t>
      </w:r>
    </w:p>
    <w:p w:rsidR="00C3356F" w:rsidRPr="00C3356F" w:rsidRDefault="00C3356F" w:rsidP="00C3356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356F">
        <w:rPr>
          <w:rFonts w:ascii="Times New Roman" w:hAnsi="Times New Roman" w:cs="Times New Roman"/>
          <w:spacing w:val="-2"/>
          <w:sz w:val="24"/>
          <w:szCs w:val="24"/>
        </w:rPr>
        <w:t xml:space="preserve">Приказ "Об определении границ зон подтопления водными объектами территории </w:t>
      </w:r>
      <w:proofErr w:type="gramStart"/>
      <w:r w:rsidRPr="00C3356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C3356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C3356F">
        <w:rPr>
          <w:rFonts w:ascii="Times New Roman" w:hAnsi="Times New Roman" w:cs="Times New Roman"/>
          <w:spacing w:val="-2"/>
          <w:sz w:val="24"/>
          <w:szCs w:val="24"/>
        </w:rPr>
        <w:t>Гагарка</w:t>
      </w:r>
      <w:proofErr w:type="gramEnd"/>
      <w:r w:rsidRPr="00C3356F">
        <w:rPr>
          <w:rFonts w:ascii="Times New Roman" w:hAnsi="Times New Roman" w:cs="Times New Roman"/>
          <w:spacing w:val="-2"/>
          <w:sz w:val="24"/>
          <w:szCs w:val="24"/>
        </w:rPr>
        <w:t xml:space="preserve"> Усть-</w:t>
      </w:r>
      <w:proofErr w:type="spellStart"/>
      <w:r w:rsidRPr="00C3356F">
        <w:rPr>
          <w:rFonts w:ascii="Times New Roman" w:hAnsi="Times New Roman" w:cs="Times New Roman"/>
          <w:spacing w:val="-2"/>
          <w:sz w:val="24"/>
          <w:szCs w:val="24"/>
        </w:rPr>
        <w:t>Коксинского</w:t>
      </w:r>
      <w:proofErr w:type="spellEnd"/>
      <w:r w:rsidRPr="00C3356F">
        <w:rPr>
          <w:rFonts w:ascii="Times New Roman" w:hAnsi="Times New Roman" w:cs="Times New Roman"/>
          <w:spacing w:val="-2"/>
          <w:sz w:val="24"/>
          <w:szCs w:val="24"/>
        </w:rPr>
        <w:t xml:space="preserve"> района Республики Алтай", 70пр, 2022-07-08, Федеральное агентство водных р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сурсов (Верхне-Обское </w:t>
      </w:r>
      <w:r w:rsidRPr="00C3356F">
        <w:rPr>
          <w:rFonts w:ascii="Times New Roman" w:hAnsi="Times New Roman" w:cs="Times New Roman"/>
          <w:spacing w:val="-2"/>
          <w:sz w:val="24"/>
          <w:szCs w:val="24"/>
        </w:rPr>
        <w:t>бассейновое водное управление)</w:t>
      </w:r>
      <w:r w:rsidR="00881C2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3356F" w:rsidRDefault="000731C8" w:rsidP="00C3356F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881C22" w:rsidRPr="00E02F37">
        <w:rPr>
          <w:b/>
        </w:rPr>
        <w:t>04:08:090101:1287</w:t>
      </w:r>
      <w:r>
        <w:t xml:space="preserve">, площадью </w:t>
      </w:r>
      <w:r w:rsidR="00881C22">
        <w:t>1800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881C22">
        <w:rPr>
          <w:rFonts w:ascii="Times New Roman" w:hAnsi="Times New Roman" w:cs="Times New Roman"/>
          <w:sz w:val="24"/>
          <w:szCs w:val="24"/>
        </w:rPr>
        <w:t>82 620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881C22">
        <w:rPr>
          <w:rFonts w:ascii="Times New Roman" w:hAnsi="Times New Roman" w:cs="Times New Roman"/>
          <w:sz w:val="24"/>
          <w:szCs w:val="24"/>
        </w:rPr>
        <w:t>41 3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881C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881C22">
        <w:rPr>
          <w:rFonts w:ascii="Times New Roman" w:eastAsia="Calibri" w:hAnsi="Times New Roman" w:cs="Times New Roman"/>
          <w:b/>
          <w:sz w:val="25"/>
          <w:szCs w:val="25"/>
        </w:rPr>
        <w:t>Верх-</w:t>
      </w:r>
      <w:proofErr w:type="spellStart"/>
      <w:r w:rsidR="00881C22">
        <w:rPr>
          <w:rFonts w:ascii="Times New Roman" w:eastAsia="Calibri" w:hAnsi="Times New Roman" w:cs="Times New Roman"/>
          <w:b/>
          <w:sz w:val="25"/>
          <w:szCs w:val="25"/>
        </w:rPr>
        <w:t>Уймонского</w:t>
      </w:r>
      <w:proofErr w:type="spellEnd"/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bCs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щади земельного участка, 30%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lastRenderedPageBreak/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Верх-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Уймонского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района: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минимальный размер – 0,06 га в населенных пунктах; </w:t>
      </w:r>
    </w:p>
    <w:p w:rsidR="00881C22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</w:t>
      </w:r>
      <w:r w:rsidRPr="00942057">
        <w:rPr>
          <w:rFonts w:ascii="Times New Roman" w:hAnsi="Times New Roman" w:cs="Times New Roman"/>
          <w:bCs/>
          <w:sz w:val="25"/>
          <w:szCs w:val="25"/>
        </w:rPr>
        <w:t>м</w:t>
      </w:r>
      <w:r w:rsidRPr="00942057">
        <w:rPr>
          <w:rFonts w:ascii="Times New Roman" w:hAnsi="Times New Roman" w:cs="Times New Roman"/>
          <w:sz w:val="25"/>
          <w:szCs w:val="25"/>
        </w:rPr>
        <w:t>аксимальные размеры земельных участков - 0, 18 га;</w:t>
      </w:r>
    </w:p>
    <w:p w:rsidR="00881C22" w:rsidRPr="00942057" w:rsidRDefault="00881C22" w:rsidP="00881C22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В случаях, когда размер формируемого земельного участка, находящегося в фактическом пользовании граждан до 2010 года, то для данного земельного участка его размеры являются: </w:t>
      </w:r>
    </w:p>
    <w:p w:rsidR="00881C22" w:rsidRPr="00942057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- предельные максимальные размеры – 0, 30 га; </w:t>
      </w:r>
    </w:p>
    <w:p w:rsidR="00881C22" w:rsidRPr="00942057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минимальные размеры – 0,20 га</w:t>
      </w:r>
    </w:p>
    <w:p w:rsidR="00881C22" w:rsidRPr="00942057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Допускается для ведения ЛПХ выделение части ЗУ до установленной </w:t>
      </w:r>
      <w:r w:rsidRPr="00942057">
        <w:rPr>
          <w:rFonts w:ascii="Times New Roman" w:hAnsi="Times New Roman" w:cs="Times New Roman"/>
          <w:sz w:val="25"/>
          <w:szCs w:val="25"/>
          <w:lang w:val="en-US"/>
        </w:rPr>
        <w:t>max</w:t>
      </w:r>
      <w:r w:rsidRPr="00942057">
        <w:rPr>
          <w:rFonts w:ascii="Times New Roman" w:hAnsi="Times New Roman" w:cs="Times New Roman"/>
          <w:sz w:val="25"/>
          <w:szCs w:val="25"/>
        </w:rPr>
        <w:t xml:space="preserve"> нормы, за пределами жилой зоны. Этажность - до 3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881C22" w:rsidRPr="00942057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Минимальный отступ от красной линии улиц – 5 м, от проездов – 3 м.</w:t>
      </w:r>
    </w:p>
    <w:p w:rsidR="00881C22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Расстояние от границ соседних участков жилого дома не менее 3 м, вспомогательных строений не менее 1 м.</w:t>
      </w:r>
    </w:p>
    <w:p w:rsidR="00881C22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Если дом высотой до трех надземных этажей, то расстояние от окон жилых комнат до стен соседнего дома и вспомогательных построек, расположенных на соседнем ЗУ не менее 6 м.</w:t>
      </w:r>
    </w:p>
    <w:p w:rsidR="00881C22" w:rsidRDefault="00881C22" w:rsidP="00881C22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</w:t>
      </w:r>
      <w:r w:rsidRPr="00942057">
        <w:rPr>
          <w:rFonts w:ascii="Times New Roman" w:hAnsi="Times New Roman" w:cs="Times New Roman"/>
          <w:sz w:val="25"/>
          <w:szCs w:val="25"/>
        </w:rPr>
        <w:t>а</w:t>
      </w:r>
      <w:r w:rsidRPr="00942057">
        <w:rPr>
          <w:rFonts w:ascii="Times New Roman" w:hAnsi="Times New Roman" w:cs="Times New Roman"/>
          <w:sz w:val="25"/>
          <w:szCs w:val="25"/>
        </w:rPr>
        <w:t>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Федерального закона от 22 июля 2008 г. N 123-ФЗ "Технический регламент о требованиях п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жарной безопасности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942057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5126BF">
        <w:rPr>
          <w:b/>
        </w:rPr>
        <w:t>07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4673D7">
        <w:rPr>
          <w:b/>
        </w:rPr>
        <w:t>31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4673D7">
        <w:rPr>
          <w:b/>
        </w:rPr>
        <w:t>01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5126BF">
        <w:rPr>
          <w:b/>
        </w:rPr>
        <w:t>05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 xml:space="preserve">подача заявки на участие в аукционе лицом, которое в соответствии с Кодексом и другими </w:t>
      </w:r>
      <w:r>
        <w:lastRenderedPageBreak/>
        <w:t>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lastRenderedPageBreak/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lastRenderedPageBreak/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lastRenderedPageBreak/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 xml:space="preserve">Процедура аукциона считается завершенной с момента подписания Организатором </w:t>
      </w:r>
      <w:r w:rsidR="0085582B">
        <w:lastRenderedPageBreak/>
        <w:t>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lastRenderedPageBreak/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C4" w:rsidRDefault="002A37C4" w:rsidP="008F3061">
      <w:r>
        <w:separator/>
      </w:r>
    </w:p>
  </w:endnote>
  <w:endnote w:type="continuationSeparator" w:id="0">
    <w:p w:rsidR="002A37C4" w:rsidRDefault="002A37C4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C4" w:rsidRDefault="002A37C4"/>
  </w:footnote>
  <w:footnote w:type="continuationSeparator" w:id="0">
    <w:p w:rsidR="002A37C4" w:rsidRDefault="002A3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C4" w:rsidRDefault="002A3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540A"/>
    <w:rsid w:val="002A37C4"/>
    <w:rsid w:val="00321A9F"/>
    <w:rsid w:val="00356F70"/>
    <w:rsid w:val="003646AF"/>
    <w:rsid w:val="003B4B47"/>
    <w:rsid w:val="003C2799"/>
    <w:rsid w:val="00401EF5"/>
    <w:rsid w:val="00437B00"/>
    <w:rsid w:val="00463A45"/>
    <w:rsid w:val="004673D7"/>
    <w:rsid w:val="00483985"/>
    <w:rsid w:val="004F01CC"/>
    <w:rsid w:val="004F7ABA"/>
    <w:rsid w:val="0050122E"/>
    <w:rsid w:val="005126BF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52FED"/>
    <w:rsid w:val="0085582B"/>
    <w:rsid w:val="00875922"/>
    <w:rsid w:val="00881C22"/>
    <w:rsid w:val="008F3061"/>
    <w:rsid w:val="008F6220"/>
    <w:rsid w:val="00922554"/>
    <w:rsid w:val="00951BBB"/>
    <w:rsid w:val="00963E14"/>
    <w:rsid w:val="00980DCD"/>
    <w:rsid w:val="009A7B8F"/>
    <w:rsid w:val="009E086E"/>
    <w:rsid w:val="00A11985"/>
    <w:rsid w:val="00A1335C"/>
    <w:rsid w:val="00A7185E"/>
    <w:rsid w:val="00A91008"/>
    <w:rsid w:val="00A9582E"/>
    <w:rsid w:val="00AD3E3B"/>
    <w:rsid w:val="00AE6342"/>
    <w:rsid w:val="00B11213"/>
    <w:rsid w:val="00B34B91"/>
    <w:rsid w:val="00BB293F"/>
    <w:rsid w:val="00C15FC1"/>
    <w:rsid w:val="00C3356F"/>
    <w:rsid w:val="00C800D4"/>
    <w:rsid w:val="00C8733B"/>
    <w:rsid w:val="00CE08A8"/>
    <w:rsid w:val="00CE19D9"/>
    <w:rsid w:val="00D0270B"/>
    <w:rsid w:val="00DB3819"/>
    <w:rsid w:val="00DE379B"/>
    <w:rsid w:val="00E02F37"/>
    <w:rsid w:val="00E138B5"/>
    <w:rsid w:val="00E56B9E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7622-10ED-4E77-B5A0-47570E2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11</cp:revision>
  <dcterms:created xsi:type="dcterms:W3CDTF">2024-02-27T05:24:00Z</dcterms:created>
  <dcterms:modified xsi:type="dcterms:W3CDTF">2024-03-07T09:02:00Z</dcterms:modified>
</cp:coreProperties>
</file>